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94966" w14:textId="77777777" w:rsidR="00575BC6" w:rsidRPr="00BE0D77" w:rsidRDefault="00575BC6" w:rsidP="009C548E">
      <w:pPr>
        <w:tabs>
          <w:tab w:val="left" w:pos="-720"/>
        </w:tabs>
        <w:suppressAutoHyphens/>
        <w:jc w:val="both"/>
        <w:rPr>
          <w:rFonts w:asciiTheme="minorHAnsi" w:hAnsiTheme="minorHAnsi" w:cstheme="minorHAnsi"/>
          <w:spacing w:val="-3"/>
          <w:sz w:val="24"/>
          <w:szCs w:val="24"/>
          <w:lang w:val="es-ES_tradnl"/>
        </w:rPr>
      </w:pPr>
    </w:p>
    <w:p w14:paraId="0F497FB0" w14:textId="60596BD9" w:rsidR="007A2D27" w:rsidRPr="00990EEB" w:rsidRDefault="001412E6" w:rsidP="009C548E">
      <w:pPr>
        <w:jc w:val="both"/>
        <w:rPr>
          <w:rFonts w:ascii="Arial" w:hAnsi="Arial" w:cs="Arial"/>
          <w:b/>
          <w:caps/>
          <w:spacing w:val="-3"/>
          <w:lang w:val="es-ES_tradnl"/>
        </w:rPr>
      </w:pPr>
      <w:r w:rsidRPr="00990EEB">
        <w:rPr>
          <w:rFonts w:ascii="Arial" w:hAnsi="Arial" w:cs="Arial"/>
          <w:b/>
          <w:caps/>
          <w:spacing w:val="-3"/>
          <w:lang w:val="es-ES_tradnl"/>
        </w:rPr>
        <w:t xml:space="preserve">Consulta pública sobre la </w:t>
      </w:r>
      <w:r w:rsidR="007A2D27" w:rsidRPr="00990EEB">
        <w:rPr>
          <w:rFonts w:ascii="Arial" w:hAnsi="Arial" w:cs="Arial"/>
          <w:b/>
          <w:caps/>
          <w:spacing w:val="-3"/>
          <w:lang w:val="es-ES_tradnl"/>
        </w:rPr>
        <w:t>Propuesta de REGLAMENTO DEL PARLAMENTO EUROPEO Y DEL CONSEJO sobre el procedimiento de autorización de sistemas que prestan servicios móviles por satélite utilizando la banda de frecuencia armonizada de 2 GHz y por el que se deroga la Decisión n.º 626/2008/CE</w:t>
      </w:r>
    </w:p>
    <w:p w14:paraId="03B75DA9" w14:textId="77777777" w:rsidR="00F43961" w:rsidRPr="00990EEB" w:rsidRDefault="00F43961" w:rsidP="009B258E">
      <w:pPr>
        <w:tabs>
          <w:tab w:val="left" w:pos="-720"/>
        </w:tabs>
        <w:suppressAutoHyphens/>
        <w:jc w:val="both"/>
        <w:rPr>
          <w:rFonts w:ascii="Arial" w:hAnsi="Arial" w:cs="Arial"/>
          <w:spacing w:val="-3"/>
          <w:lang w:val="es-ES_tradnl"/>
        </w:rPr>
      </w:pPr>
    </w:p>
    <w:p w14:paraId="4CBF75F2" w14:textId="77777777" w:rsidR="00F43961" w:rsidRPr="00990EEB" w:rsidRDefault="00F43961" w:rsidP="009B258E">
      <w:pPr>
        <w:tabs>
          <w:tab w:val="left" w:pos="-720"/>
        </w:tabs>
        <w:suppressAutoHyphens/>
        <w:jc w:val="both"/>
        <w:rPr>
          <w:rFonts w:ascii="Arial" w:hAnsi="Arial" w:cs="Arial"/>
          <w:spacing w:val="-3"/>
          <w:lang w:val="es-ES_tradnl"/>
        </w:rPr>
      </w:pPr>
    </w:p>
    <w:p w14:paraId="51DC5166" w14:textId="41A93283" w:rsidR="00B314AB" w:rsidRPr="00990EEB" w:rsidRDefault="00AF0AF0" w:rsidP="00B314AB">
      <w:pPr>
        <w:tabs>
          <w:tab w:val="left" w:pos="-720"/>
        </w:tabs>
        <w:suppressAutoHyphens/>
        <w:spacing w:before="120" w:after="120"/>
        <w:contextualSpacing/>
        <w:jc w:val="both"/>
        <w:rPr>
          <w:rFonts w:ascii="Arial" w:hAnsi="Arial" w:cs="Arial"/>
          <w:b/>
          <w:bCs/>
          <w:spacing w:val="-3"/>
        </w:rPr>
      </w:pPr>
      <w:r w:rsidRPr="00990EEB">
        <w:rPr>
          <w:rFonts w:ascii="Arial" w:hAnsi="Arial" w:cs="Arial"/>
          <w:b/>
          <w:bCs/>
          <w:spacing w:val="-3"/>
        </w:rPr>
        <w:t>Contexto</w:t>
      </w:r>
      <w:r w:rsidR="00F43961" w:rsidRPr="00990EEB">
        <w:rPr>
          <w:rFonts w:ascii="Arial" w:hAnsi="Arial" w:cs="Arial"/>
          <w:b/>
          <w:bCs/>
          <w:spacing w:val="-3"/>
        </w:rPr>
        <w:t xml:space="preserve"> </w:t>
      </w:r>
    </w:p>
    <w:p w14:paraId="065D86F4" w14:textId="77777777" w:rsidR="00BE0D77" w:rsidRPr="00990EEB" w:rsidRDefault="00F43961" w:rsidP="00B314AB">
      <w:pPr>
        <w:tabs>
          <w:tab w:val="left" w:pos="-720"/>
        </w:tabs>
        <w:suppressAutoHyphens/>
        <w:spacing w:before="120" w:after="120"/>
        <w:jc w:val="both"/>
        <w:rPr>
          <w:rFonts w:ascii="Arial" w:hAnsi="Arial" w:cs="Arial"/>
          <w:spacing w:val="-3"/>
        </w:rPr>
      </w:pPr>
      <w:r w:rsidRPr="00990EEB">
        <w:rPr>
          <w:rFonts w:ascii="Arial" w:hAnsi="Arial" w:cs="Arial"/>
          <w:spacing w:val="-3"/>
        </w:rPr>
        <w:t xml:space="preserve">La transformación digital de la economía y de la sociedad europea ha incrementado de forma exponencial la necesidad de disponer de redes de comunicaciones electrónicas de muy alta capacidad, seguras, resilientes y con cobertura suficiente en todo el territorio de la Unión Europea. En este contexto, la conectividad digital se ha consolidado como un elemento estratégico para el crecimiento económico, la competitividad industrial, la innovación tecnológica y la cohesión social y territorial. </w:t>
      </w:r>
    </w:p>
    <w:p w14:paraId="5F258364" w14:textId="00E43B2C" w:rsidR="00F43961" w:rsidRPr="00990EEB" w:rsidRDefault="00F43961" w:rsidP="00872BF3">
      <w:pPr>
        <w:tabs>
          <w:tab w:val="left" w:pos="-720"/>
        </w:tabs>
        <w:suppressAutoHyphens/>
        <w:spacing w:before="120" w:after="120"/>
        <w:jc w:val="both"/>
        <w:rPr>
          <w:rFonts w:ascii="Arial" w:hAnsi="Arial" w:cs="Arial"/>
          <w:spacing w:val="-3"/>
          <w:lang w:val="es-ES_tradnl"/>
        </w:rPr>
      </w:pPr>
      <w:r w:rsidRPr="00990EEB">
        <w:rPr>
          <w:rFonts w:ascii="Arial" w:hAnsi="Arial" w:cs="Arial"/>
          <w:spacing w:val="-3"/>
        </w:rPr>
        <w:t xml:space="preserve">La Unión Europea ha venido desarrollando en los últimos años diversas iniciativas orientadas a reforzar las infraestructuras digitales y acelerar el despliegue de redes avanzadas. </w:t>
      </w:r>
    </w:p>
    <w:p w14:paraId="1596FC25" w14:textId="77777777" w:rsidR="009B258E" w:rsidRPr="00990EEB" w:rsidRDefault="009B258E" w:rsidP="009B258E">
      <w:pPr>
        <w:tabs>
          <w:tab w:val="left" w:pos="-720"/>
        </w:tabs>
        <w:suppressAutoHyphens/>
        <w:spacing w:before="120" w:after="120"/>
        <w:jc w:val="both"/>
        <w:rPr>
          <w:rFonts w:ascii="Arial" w:hAnsi="Arial" w:cs="Arial"/>
          <w:spacing w:val="-3"/>
          <w:lang w:val="es-ES_tradnl"/>
        </w:rPr>
      </w:pPr>
      <w:r w:rsidRPr="00990EEB">
        <w:rPr>
          <w:rFonts w:ascii="Arial" w:hAnsi="Arial" w:cs="Arial"/>
          <w:spacing w:val="-3"/>
          <w:lang w:val="es-ES_tradnl"/>
        </w:rPr>
        <w:t>Desde 2008, se han producido diversos avances tecnológicos y geopolíticos que han afectado profundamente a la importancia estratégica de esta banda de frecuencias. Por un lado, están surgiendo grandes constelaciones de satélites de órbita terrestre baja (constelaciones LEO), que permiten sistemas híbridos terrestres-satelitales y futuras redes móviles convergentes 6G. Estas constelaciones ofrecen, en particular, la posibilidad de conectividad satelital directa al dispositivo (D2D), es decir, conectividad a teléfonos móviles, tabletas y otros dispositivos de usuario final sin modificaciones. Esta infraestructura es vital para garantizar el acceso a internet de alta velocidad para todos, especialmente en regiones remotas y con acceso limitado a servicios, y para fortalecer las capacidades europeas en comunicaciones críticas (respuesta a emergencias y defensa), y constituye un componente clave de las redes de comunicación resilientes que permiten la conectividad continua en condiciones adversas.</w:t>
      </w:r>
    </w:p>
    <w:p w14:paraId="5C53C5D2" w14:textId="77777777" w:rsidR="009B258E" w:rsidRPr="00990EEB" w:rsidRDefault="009B258E" w:rsidP="009B258E">
      <w:pPr>
        <w:tabs>
          <w:tab w:val="left" w:pos="-720"/>
        </w:tabs>
        <w:suppressAutoHyphens/>
        <w:spacing w:before="120" w:after="120"/>
        <w:jc w:val="both"/>
        <w:rPr>
          <w:rFonts w:ascii="Arial" w:hAnsi="Arial" w:cs="Arial"/>
          <w:spacing w:val="-3"/>
          <w:lang w:val="es-ES_tradnl"/>
        </w:rPr>
      </w:pPr>
      <w:r w:rsidRPr="00990EEB">
        <w:rPr>
          <w:rFonts w:ascii="Arial" w:hAnsi="Arial" w:cs="Arial"/>
          <w:spacing w:val="-3"/>
          <w:lang w:val="es-ES_tradnl"/>
        </w:rPr>
        <w:t>La banda de frecuencias de 2 GHz se considera óptima para el despliegue de servicios D2D satelitales innovadores. Está armonizada para servicios móviles por satélite (así como para servicios móviles terrestres) a nivel mundial. Además, esta banda se considera idónea para la integración de redes terrestres y no terrestres, ya que se encuentra junto a las bandas asignadas a los servicios móviles terrestres, lo que facilita su compatibilidad con los chipsets. En segundo lugar, la banda MSS de 2 GHz es lo suficientemente amplia como para soportar no solo voz y SMS, sino también servicios de banda ancha. Por tanto, una empresa con acceso a esta banda de frecuencias puede proporcionar servicios por satélite directamente a los usuarios finales en la Unión y/o utilizarla fácilmente para sistemas terrestres.</w:t>
      </w:r>
    </w:p>
    <w:p w14:paraId="14D8F3D7" w14:textId="77777777" w:rsidR="009B258E" w:rsidRPr="00990EEB" w:rsidRDefault="009B258E" w:rsidP="009B258E">
      <w:pPr>
        <w:tabs>
          <w:tab w:val="left" w:pos="-720"/>
        </w:tabs>
        <w:suppressAutoHyphens/>
        <w:spacing w:before="120" w:after="120"/>
        <w:jc w:val="both"/>
        <w:rPr>
          <w:rFonts w:ascii="Arial" w:hAnsi="Arial" w:cs="Arial"/>
          <w:spacing w:val="-3"/>
          <w:lang w:val="es-ES_tradnl"/>
        </w:rPr>
      </w:pPr>
      <w:r w:rsidRPr="00990EEB">
        <w:rPr>
          <w:rFonts w:ascii="Arial" w:hAnsi="Arial" w:cs="Arial"/>
          <w:spacing w:val="-3"/>
          <w:lang w:val="es-ES_tradnl"/>
        </w:rPr>
        <w:t>Por último, la conectividad por satélite resulta cada vez más vital para la soberanía tecnológica de la UE, desempeñando un papel crucial para conseguir cubrir las necesidades de comunicación de ciudadanos, empresas y gobiernos. Los actores gubernamentales de la Unión dependen cada vez más de servicios de comunicación por satélite seguros, fiables y sin interrupción, especialmente en situaciones donde los sistemas terrestres no están disponibles, sufren interrupciones o presentan fallos. En estos casos, las comunicaciones por satélite son fundamentales para mantener capacidades de comunicación continuas y eficaces en todo el continente cuando fallan las redes terrestres.</w:t>
      </w:r>
    </w:p>
    <w:p w14:paraId="5CE71072" w14:textId="685D3CEB" w:rsidR="001A40F9" w:rsidRPr="00990EEB" w:rsidRDefault="009B258E" w:rsidP="009B258E">
      <w:pPr>
        <w:tabs>
          <w:tab w:val="left" w:pos="-720"/>
        </w:tabs>
        <w:suppressAutoHyphens/>
        <w:spacing w:before="120" w:after="120"/>
        <w:jc w:val="both"/>
        <w:rPr>
          <w:rFonts w:ascii="Arial" w:hAnsi="Arial" w:cs="Arial"/>
          <w:spacing w:val="-3"/>
          <w:lang w:val="es-ES_tradnl"/>
        </w:rPr>
      </w:pPr>
      <w:r w:rsidRPr="00990EEB">
        <w:rPr>
          <w:rFonts w:ascii="Arial" w:hAnsi="Arial" w:cs="Arial"/>
          <w:spacing w:val="-3"/>
          <w:lang w:val="es-ES_tradnl"/>
        </w:rPr>
        <w:t>En vista de lo anterior, existe una necesidad imperiosa de una intervención de la UE con respecto al uso a largo plazo de la banda MSS de 2 GHz. Esta intervención debería reforzar la tecnología, soberanía y competitividad del sector espacial mediante la integración de los últimos avances tecnológicos en conectividad por satélite, abordando simultáneamente las deficiencias regulatorias existentes en el marco regulatorio de la banda MSS de 2 GHz.</w:t>
      </w:r>
    </w:p>
    <w:p w14:paraId="6177B215" w14:textId="016F8AC0" w:rsidR="001A40F9" w:rsidRPr="00990EEB" w:rsidRDefault="00DB5807" w:rsidP="009B258E">
      <w:pPr>
        <w:tabs>
          <w:tab w:val="left" w:pos="-720"/>
        </w:tabs>
        <w:suppressAutoHyphens/>
        <w:spacing w:before="120" w:after="120"/>
        <w:jc w:val="both"/>
        <w:rPr>
          <w:rFonts w:ascii="Arial" w:hAnsi="Arial" w:cs="Arial"/>
          <w:b/>
          <w:bCs/>
          <w:spacing w:val="-3"/>
          <w:lang w:val="es-ES_tradnl"/>
        </w:rPr>
      </w:pPr>
      <w:r w:rsidRPr="00990EEB">
        <w:rPr>
          <w:rFonts w:ascii="Arial" w:hAnsi="Arial" w:cs="Arial"/>
          <w:b/>
          <w:bCs/>
          <w:spacing w:val="-3"/>
          <w:lang w:val="es-ES_tradnl"/>
        </w:rPr>
        <w:t>Objetivos</w:t>
      </w:r>
      <w:r w:rsidR="00AF0AF0" w:rsidRPr="00990EEB">
        <w:rPr>
          <w:rFonts w:ascii="Arial" w:hAnsi="Arial" w:cs="Arial"/>
          <w:b/>
          <w:bCs/>
          <w:spacing w:val="-3"/>
          <w:lang w:val="es-ES_tradnl"/>
        </w:rPr>
        <w:t xml:space="preserve"> y contenido</w:t>
      </w:r>
      <w:r w:rsidRPr="00990EEB">
        <w:rPr>
          <w:rFonts w:ascii="Arial" w:hAnsi="Arial" w:cs="Arial"/>
          <w:b/>
          <w:bCs/>
          <w:spacing w:val="-3"/>
          <w:lang w:val="es-ES_tradnl"/>
        </w:rPr>
        <w:t xml:space="preserve"> de la norma</w:t>
      </w:r>
    </w:p>
    <w:p w14:paraId="7DC37C66" w14:textId="462549F6" w:rsidR="009B258E" w:rsidRPr="00990EEB" w:rsidRDefault="00DB5807" w:rsidP="009B258E">
      <w:pPr>
        <w:tabs>
          <w:tab w:val="left" w:pos="-720"/>
        </w:tabs>
        <w:suppressAutoHyphens/>
        <w:spacing w:before="120" w:after="120"/>
        <w:jc w:val="both"/>
        <w:rPr>
          <w:rFonts w:ascii="Arial" w:hAnsi="Arial" w:cs="Arial"/>
          <w:spacing w:val="-3"/>
          <w:lang w:val="es-ES_tradnl"/>
        </w:rPr>
      </w:pPr>
      <w:r w:rsidRPr="00990EEB">
        <w:rPr>
          <w:rFonts w:ascii="Arial" w:hAnsi="Arial" w:cs="Arial"/>
          <w:spacing w:val="-3"/>
          <w:lang w:val="es-ES_tradnl"/>
        </w:rPr>
        <w:lastRenderedPageBreak/>
        <w:t xml:space="preserve">Para hacer frente a estos retos </w:t>
      </w:r>
      <w:r w:rsidR="009B258E" w:rsidRPr="00990EEB">
        <w:rPr>
          <w:rFonts w:ascii="Arial" w:hAnsi="Arial" w:cs="Arial"/>
          <w:spacing w:val="-3"/>
          <w:lang w:val="es-ES_tradnl"/>
        </w:rPr>
        <w:t xml:space="preserve">este Reglamento </w:t>
      </w:r>
      <w:r w:rsidR="00C85849" w:rsidRPr="00990EEB">
        <w:rPr>
          <w:rFonts w:ascii="Arial" w:hAnsi="Arial" w:cs="Arial"/>
          <w:spacing w:val="-3"/>
          <w:lang w:val="es-ES_tradnl"/>
        </w:rPr>
        <w:t>tiene por objeto</w:t>
      </w:r>
      <w:r w:rsidR="009B258E" w:rsidRPr="00990EEB">
        <w:rPr>
          <w:rFonts w:ascii="Arial" w:hAnsi="Arial" w:cs="Arial"/>
          <w:spacing w:val="-3"/>
          <w:lang w:val="es-ES_tradnl"/>
        </w:rPr>
        <w:t xml:space="preserve">, en primer lugar, desarrollar criterios comunes para la selección de sistemas MSS en consonancia con los objetivos políticos actuales de la UE, en particular la competitividad y la autonomía estratégica de la UE; en segundo lugar, eliminar la fragmentación regulatoria en la banda MSS de 2 GHz para promover el despliegue rápido de servicios innovadores de comunicaciones por satélite paneuropeos; y por último, </w:t>
      </w:r>
      <w:r w:rsidR="00741087" w:rsidRPr="00990EEB">
        <w:rPr>
          <w:rFonts w:ascii="Arial" w:hAnsi="Arial" w:cs="Arial"/>
          <w:spacing w:val="-3"/>
          <w:lang w:val="es-ES_tradnl"/>
        </w:rPr>
        <w:t>permite a la</w:t>
      </w:r>
      <w:r w:rsidR="009B258E" w:rsidRPr="00990EEB">
        <w:rPr>
          <w:rFonts w:ascii="Arial" w:hAnsi="Arial" w:cs="Arial"/>
          <w:spacing w:val="-3"/>
          <w:lang w:val="es-ES_tradnl"/>
        </w:rPr>
        <w:t xml:space="preserve"> Comisión decidir prorrogar </w:t>
      </w:r>
      <w:r w:rsidR="00741087" w:rsidRPr="00990EEB">
        <w:rPr>
          <w:rFonts w:ascii="Arial" w:hAnsi="Arial" w:cs="Arial"/>
          <w:spacing w:val="-3"/>
          <w:lang w:val="es-ES_tradnl"/>
        </w:rPr>
        <w:t>los derechos de</w:t>
      </w:r>
      <w:r w:rsidR="009B258E" w:rsidRPr="00990EEB">
        <w:rPr>
          <w:rFonts w:ascii="Arial" w:hAnsi="Arial" w:cs="Arial"/>
          <w:spacing w:val="-3"/>
          <w:lang w:val="es-ES_tradnl"/>
        </w:rPr>
        <w:t xml:space="preserve"> uso del espectro</w:t>
      </w:r>
      <w:r w:rsidR="00342475" w:rsidRPr="00990EEB">
        <w:rPr>
          <w:rFonts w:ascii="Arial" w:hAnsi="Arial" w:cs="Arial"/>
          <w:spacing w:val="-3"/>
          <w:lang w:val="es-ES_tradnl"/>
        </w:rPr>
        <w:t xml:space="preserve"> de los titulares actuales</w:t>
      </w:r>
      <w:r w:rsidR="009B258E" w:rsidRPr="00990EEB">
        <w:rPr>
          <w:rFonts w:ascii="Arial" w:hAnsi="Arial" w:cs="Arial"/>
          <w:spacing w:val="-3"/>
          <w:lang w:val="es-ES_tradnl"/>
        </w:rPr>
        <w:t xml:space="preserve"> durante el tiempo necesario para completar el proceso de selección con arreglo a este Reglamento, garantizando así cierto grado de continuidad del servicio. Esta prórroga podrá estar sujeta a condiciones.</w:t>
      </w:r>
    </w:p>
    <w:p w14:paraId="2AC14BD9" w14:textId="6B5E9BE6" w:rsidR="009B258E" w:rsidRPr="00990EEB" w:rsidRDefault="009B258E" w:rsidP="009B258E">
      <w:pPr>
        <w:tabs>
          <w:tab w:val="left" w:pos="-720"/>
        </w:tabs>
        <w:suppressAutoHyphens/>
        <w:spacing w:before="120" w:after="120"/>
        <w:jc w:val="both"/>
        <w:rPr>
          <w:rFonts w:ascii="Arial" w:hAnsi="Arial" w:cs="Arial"/>
          <w:spacing w:val="-3"/>
          <w:lang w:val="es-ES_tradnl"/>
        </w:rPr>
      </w:pPr>
      <w:r w:rsidRPr="00990EEB">
        <w:rPr>
          <w:rFonts w:ascii="Arial" w:hAnsi="Arial" w:cs="Arial"/>
          <w:spacing w:val="-3"/>
          <w:lang w:val="es-ES_tradnl"/>
        </w:rPr>
        <w:t>Los puntos clave de la propuesta incluyen:</w:t>
      </w:r>
    </w:p>
    <w:p w14:paraId="54879E45" w14:textId="0A48EE96" w:rsidR="009B258E" w:rsidRPr="00990EEB" w:rsidRDefault="009B258E" w:rsidP="009B258E">
      <w:pPr>
        <w:pStyle w:val="Prrafodelista"/>
        <w:numPr>
          <w:ilvl w:val="0"/>
          <w:numId w:val="13"/>
        </w:numPr>
        <w:tabs>
          <w:tab w:val="left" w:pos="-720"/>
        </w:tabs>
        <w:suppressAutoHyphens/>
        <w:spacing w:before="120" w:after="120"/>
        <w:contextualSpacing w:val="0"/>
        <w:jc w:val="both"/>
        <w:rPr>
          <w:rFonts w:ascii="Arial" w:hAnsi="Arial" w:cs="Arial"/>
          <w:spacing w:val="-3"/>
          <w:lang w:val="es-ES_tradnl"/>
        </w:rPr>
      </w:pPr>
      <w:r w:rsidRPr="00990EEB">
        <w:rPr>
          <w:rFonts w:ascii="Arial" w:hAnsi="Arial" w:cs="Arial"/>
          <w:b/>
          <w:bCs/>
          <w:spacing w:val="-3"/>
          <w:lang w:val="es-ES_tradnl"/>
        </w:rPr>
        <w:t>Centralización:</w:t>
      </w:r>
      <w:r w:rsidRPr="00990EEB">
        <w:rPr>
          <w:rFonts w:ascii="Arial" w:hAnsi="Arial" w:cs="Arial"/>
          <w:spacing w:val="-3"/>
          <w:lang w:val="es-ES_tradnl"/>
        </w:rPr>
        <w:t xml:space="preserve"> La Comisión se arroga la potestad de seleccionar y autorizar operadores a escala </w:t>
      </w:r>
      <w:r w:rsidR="00CC6249" w:rsidRPr="00990EEB">
        <w:rPr>
          <w:rFonts w:ascii="Arial" w:hAnsi="Arial" w:cs="Arial"/>
          <w:spacing w:val="-3"/>
          <w:lang w:val="es-ES_tradnl"/>
        </w:rPr>
        <w:t>paneuropea,</w:t>
      </w:r>
      <w:r w:rsidRPr="00990EEB">
        <w:rPr>
          <w:rFonts w:ascii="Arial" w:hAnsi="Arial" w:cs="Arial"/>
          <w:spacing w:val="-3"/>
          <w:lang w:val="es-ES_tradnl"/>
        </w:rPr>
        <w:t xml:space="preserve"> así como de monitorizar y hacer cumplir las condiciones impuestas y de llegar a acuerdos con terceros países sobre el uso de la banda. Asimismo, en línea con la argumentación ya expuesta por la COM para otras normas, propone que sea un Reglamento.</w:t>
      </w:r>
    </w:p>
    <w:p w14:paraId="71CFA01E" w14:textId="7B108221" w:rsidR="009B258E" w:rsidRPr="00990EEB" w:rsidRDefault="009B258E" w:rsidP="009B258E">
      <w:pPr>
        <w:pStyle w:val="Prrafodelista"/>
        <w:numPr>
          <w:ilvl w:val="0"/>
          <w:numId w:val="13"/>
        </w:numPr>
        <w:tabs>
          <w:tab w:val="left" w:pos="-720"/>
        </w:tabs>
        <w:suppressAutoHyphens/>
        <w:spacing w:before="120" w:after="120"/>
        <w:ind w:left="357" w:hanging="357"/>
        <w:contextualSpacing w:val="0"/>
        <w:jc w:val="both"/>
        <w:rPr>
          <w:rFonts w:ascii="Arial" w:hAnsi="Arial" w:cs="Arial"/>
          <w:spacing w:val="-3"/>
          <w:lang w:val="es-ES_tradnl"/>
        </w:rPr>
      </w:pPr>
      <w:r w:rsidRPr="00990EEB">
        <w:rPr>
          <w:rFonts w:ascii="Arial" w:hAnsi="Arial" w:cs="Arial"/>
          <w:b/>
          <w:bCs/>
          <w:spacing w:val="-3"/>
          <w:lang w:val="es-ES_tradnl"/>
        </w:rPr>
        <w:t>Autonomía Estratégica:</w:t>
      </w:r>
      <w:r w:rsidRPr="00990EEB">
        <w:rPr>
          <w:rFonts w:ascii="Arial" w:hAnsi="Arial" w:cs="Arial"/>
          <w:spacing w:val="-3"/>
          <w:lang w:val="es-ES_tradnl"/>
        </w:rPr>
        <w:t xml:space="preserve"> Se prioriza el despliegue de un sistema MSS seguro/híbrido (esto es, con parte terrestre) para comunicaciones gubernamentales críticas, integrado con la infraestructura IRIS².</w:t>
      </w:r>
    </w:p>
    <w:p w14:paraId="453EA40C" w14:textId="39194F16" w:rsidR="009B258E" w:rsidRPr="00990EEB" w:rsidRDefault="009B258E" w:rsidP="009B258E">
      <w:pPr>
        <w:pStyle w:val="Prrafodelista"/>
        <w:numPr>
          <w:ilvl w:val="0"/>
          <w:numId w:val="13"/>
        </w:numPr>
        <w:tabs>
          <w:tab w:val="left" w:pos="-720"/>
        </w:tabs>
        <w:suppressAutoHyphens/>
        <w:spacing w:before="120" w:after="120"/>
        <w:ind w:left="357" w:hanging="357"/>
        <w:contextualSpacing w:val="0"/>
        <w:jc w:val="both"/>
        <w:rPr>
          <w:rFonts w:ascii="Arial" w:hAnsi="Arial" w:cs="Arial"/>
          <w:spacing w:val="-3"/>
          <w:lang w:val="es-ES_tradnl"/>
        </w:rPr>
      </w:pPr>
      <w:r w:rsidRPr="00990EEB">
        <w:rPr>
          <w:rFonts w:ascii="Arial" w:hAnsi="Arial" w:cs="Arial"/>
          <w:b/>
          <w:bCs/>
          <w:spacing w:val="-3"/>
          <w:lang w:val="es-ES_tradnl"/>
        </w:rPr>
        <w:t>Innovación Tecnológica:</w:t>
      </w:r>
      <w:r w:rsidRPr="00990EEB">
        <w:rPr>
          <w:rFonts w:ascii="Arial" w:hAnsi="Arial" w:cs="Arial"/>
          <w:spacing w:val="-3"/>
          <w:lang w:val="es-ES_tradnl"/>
        </w:rPr>
        <w:t xml:space="preserve"> El reglamento se adapta a las nuevas constelaciones de órbita terrestre baja (LEO) y a la conectividad directa al dispositivo (D2D), facilitando la convergencia con redes 5G y futuras 6G.</w:t>
      </w:r>
    </w:p>
    <w:p w14:paraId="1F7727A5" w14:textId="1F67C084" w:rsidR="00CC6249" w:rsidRDefault="009B258E" w:rsidP="00CC6249">
      <w:pPr>
        <w:pStyle w:val="Prrafodelista"/>
        <w:numPr>
          <w:ilvl w:val="0"/>
          <w:numId w:val="13"/>
        </w:numPr>
        <w:tabs>
          <w:tab w:val="left" w:pos="-720"/>
        </w:tabs>
        <w:suppressAutoHyphens/>
        <w:spacing w:before="120" w:after="120"/>
        <w:ind w:left="357" w:hanging="357"/>
        <w:contextualSpacing w:val="0"/>
        <w:jc w:val="both"/>
        <w:rPr>
          <w:rFonts w:ascii="Arial" w:hAnsi="Arial" w:cs="Arial"/>
          <w:spacing w:val="-3"/>
          <w:lang w:val="es-ES_tradnl"/>
        </w:rPr>
      </w:pPr>
      <w:r w:rsidRPr="00990EEB">
        <w:rPr>
          <w:rFonts w:ascii="Arial" w:hAnsi="Arial" w:cs="Arial"/>
          <w:b/>
          <w:bCs/>
          <w:spacing w:val="-3"/>
          <w:lang w:val="es-ES_tradnl"/>
        </w:rPr>
        <w:t>Transición:</w:t>
      </w:r>
      <w:r w:rsidRPr="00990EEB">
        <w:rPr>
          <w:rFonts w:ascii="Arial" w:hAnsi="Arial" w:cs="Arial"/>
          <w:spacing w:val="-3"/>
          <w:lang w:val="es-ES_tradnl"/>
        </w:rPr>
        <w:t xml:space="preserve"> Se prevé una extensión de dos años para los derechos de los operadores actuales (incumbentes) hasta desde mayo de 2027 a mayo de 2029 para garantizar la continuidad del servicio durante el nuevo proceso de selección bajo la condición de no transferencia de la licencia.</w:t>
      </w:r>
    </w:p>
    <w:p w14:paraId="6A513A4D" w14:textId="130E55A6" w:rsidR="00C25415" w:rsidRDefault="00C25415" w:rsidP="00C25415">
      <w:pPr>
        <w:tabs>
          <w:tab w:val="left" w:pos="-720"/>
        </w:tabs>
        <w:suppressAutoHyphens/>
        <w:spacing w:before="120" w:after="120"/>
        <w:jc w:val="both"/>
        <w:rPr>
          <w:rFonts w:ascii="Arial" w:hAnsi="Arial" w:cs="Arial"/>
          <w:spacing w:val="-3"/>
          <w:lang w:val="es-ES_tradnl"/>
        </w:rPr>
      </w:pPr>
      <w:r>
        <w:rPr>
          <w:rFonts w:ascii="Arial" w:hAnsi="Arial" w:cs="Arial"/>
          <w:spacing w:val="-3"/>
          <w:lang w:val="es-ES_tradnl"/>
        </w:rPr>
        <w:t>En conclusión, estas medidas buscan la</w:t>
      </w:r>
      <w:r w:rsidRPr="00C25415">
        <w:rPr>
          <w:rFonts w:ascii="Arial" w:hAnsi="Arial" w:cs="Arial"/>
          <w:spacing w:val="-3"/>
          <w:lang w:val="es-ES_tradnl"/>
        </w:rPr>
        <w:t xml:space="preserve"> armonización de las condiciones de uso de la banda de frecuencias de 2 GHz para los servicios móviles por satélite en todos los Estados </w:t>
      </w:r>
      <w:r>
        <w:rPr>
          <w:rFonts w:ascii="Arial" w:hAnsi="Arial" w:cs="Arial"/>
          <w:spacing w:val="-3"/>
          <w:lang w:val="es-ES_tradnl"/>
        </w:rPr>
        <w:t>M</w:t>
      </w:r>
      <w:r w:rsidRPr="00C25415">
        <w:rPr>
          <w:rFonts w:ascii="Arial" w:hAnsi="Arial" w:cs="Arial"/>
          <w:spacing w:val="-3"/>
          <w:lang w:val="es-ES_tradnl"/>
        </w:rPr>
        <w:t>iembros de la U</w:t>
      </w:r>
      <w:r>
        <w:rPr>
          <w:rFonts w:ascii="Arial" w:hAnsi="Arial" w:cs="Arial"/>
          <w:spacing w:val="-3"/>
          <w:lang w:val="es-ES_tradnl"/>
        </w:rPr>
        <w:t xml:space="preserve">nión </w:t>
      </w:r>
      <w:r w:rsidRPr="00C25415">
        <w:rPr>
          <w:rFonts w:ascii="Arial" w:hAnsi="Arial" w:cs="Arial"/>
          <w:spacing w:val="-3"/>
          <w:lang w:val="es-ES_tradnl"/>
        </w:rPr>
        <w:t>E</w:t>
      </w:r>
      <w:r>
        <w:rPr>
          <w:rFonts w:ascii="Arial" w:hAnsi="Arial" w:cs="Arial"/>
          <w:spacing w:val="-3"/>
          <w:lang w:val="es-ES_tradnl"/>
        </w:rPr>
        <w:t>uropea y</w:t>
      </w:r>
      <w:r w:rsidRPr="00C25415">
        <w:rPr>
          <w:rFonts w:ascii="Arial" w:hAnsi="Arial" w:cs="Arial"/>
          <w:spacing w:val="-3"/>
          <w:lang w:val="es-ES_tradnl"/>
        </w:rPr>
        <w:t xml:space="preserve"> garantiza</w:t>
      </w:r>
      <w:r>
        <w:rPr>
          <w:rFonts w:ascii="Arial" w:hAnsi="Arial" w:cs="Arial"/>
          <w:spacing w:val="-3"/>
          <w:lang w:val="es-ES_tradnl"/>
        </w:rPr>
        <w:t>r así</w:t>
      </w:r>
      <w:r w:rsidRPr="00C25415">
        <w:rPr>
          <w:rFonts w:ascii="Arial" w:hAnsi="Arial" w:cs="Arial"/>
          <w:spacing w:val="-3"/>
          <w:lang w:val="es-ES_tradnl"/>
        </w:rPr>
        <w:t xml:space="preserve"> la coherencia normativa en toda la U</w:t>
      </w:r>
      <w:r>
        <w:rPr>
          <w:rFonts w:ascii="Arial" w:hAnsi="Arial" w:cs="Arial"/>
          <w:spacing w:val="-3"/>
          <w:lang w:val="es-ES_tradnl"/>
        </w:rPr>
        <w:t>nión</w:t>
      </w:r>
      <w:r w:rsidRPr="00C25415">
        <w:rPr>
          <w:rFonts w:ascii="Arial" w:hAnsi="Arial" w:cs="Arial"/>
          <w:spacing w:val="-3"/>
          <w:lang w:val="es-ES_tradnl"/>
        </w:rPr>
        <w:t xml:space="preserve"> y permitir a los operadores desarrollar y prestar servicios a través de </w:t>
      </w:r>
      <w:r>
        <w:rPr>
          <w:rFonts w:ascii="Arial" w:hAnsi="Arial" w:cs="Arial"/>
          <w:spacing w:val="-3"/>
          <w:lang w:val="es-ES_tradnl"/>
        </w:rPr>
        <w:t xml:space="preserve">todos los Estados Miembros. </w:t>
      </w:r>
    </w:p>
    <w:p w14:paraId="43045977" w14:textId="77777777" w:rsidR="00586846" w:rsidRPr="00586846" w:rsidRDefault="00586846" w:rsidP="00586846">
      <w:pPr>
        <w:tabs>
          <w:tab w:val="left" w:pos="-720"/>
        </w:tabs>
        <w:suppressAutoHyphens/>
        <w:spacing w:before="120" w:after="120"/>
        <w:jc w:val="both"/>
        <w:rPr>
          <w:rFonts w:ascii="Arial" w:hAnsi="Arial" w:cs="Arial"/>
          <w:spacing w:val="-3"/>
          <w:lang w:val="es-ES_tradnl"/>
        </w:rPr>
      </w:pPr>
      <w:r>
        <w:rPr>
          <w:rFonts w:ascii="Arial" w:hAnsi="Arial" w:cs="Arial"/>
          <w:spacing w:val="-3"/>
          <w:lang w:val="es-ES_tradnl"/>
        </w:rPr>
        <w:t xml:space="preserve">Por ello, </w:t>
      </w:r>
      <w:r w:rsidRPr="00586846">
        <w:rPr>
          <w:rFonts w:ascii="Arial" w:hAnsi="Arial" w:cs="Arial"/>
          <w:spacing w:val="-3"/>
          <w:lang w:val="es-ES_tradnl"/>
        </w:rPr>
        <w:t>se recaba la opinión de los sujetos y de las organizaciones más representativas potencialmente afectados por la futura norma acerca de:</w:t>
      </w:r>
    </w:p>
    <w:p w14:paraId="18E90ABE" w14:textId="77777777" w:rsidR="00586846" w:rsidRPr="00586846" w:rsidRDefault="00586846" w:rsidP="00586846">
      <w:pPr>
        <w:tabs>
          <w:tab w:val="left" w:pos="-720"/>
        </w:tabs>
        <w:suppressAutoHyphens/>
        <w:spacing w:before="120" w:after="120"/>
        <w:jc w:val="both"/>
        <w:rPr>
          <w:rFonts w:ascii="Arial" w:hAnsi="Arial" w:cs="Arial"/>
          <w:spacing w:val="-3"/>
          <w:lang w:val="es-ES_tradnl"/>
        </w:rPr>
      </w:pPr>
      <w:r w:rsidRPr="00586846">
        <w:rPr>
          <w:rFonts w:ascii="Arial" w:hAnsi="Arial" w:cs="Arial"/>
          <w:spacing w:val="-3"/>
          <w:lang w:val="es-ES_tradnl"/>
        </w:rPr>
        <w:t>a) Los problemas que se pretenden solucionar con la iniciativa.</w:t>
      </w:r>
    </w:p>
    <w:p w14:paraId="3F4DCCB4" w14:textId="77777777" w:rsidR="00586846" w:rsidRPr="00586846" w:rsidRDefault="00586846" w:rsidP="00586846">
      <w:pPr>
        <w:tabs>
          <w:tab w:val="left" w:pos="-720"/>
        </w:tabs>
        <w:suppressAutoHyphens/>
        <w:spacing w:before="120" w:after="120"/>
        <w:jc w:val="both"/>
        <w:rPr>
          <w:rFonts w:ascii="Arial" w:hAnsi="Arial" w:cs="Arial"/>
          <w:spacing w:val="-3"/>
          <w:lang w:val="es-ES_tradnl"/>
        </w:rPr>
      </w:pPr>
      <w:r w:rsidRPr="00586846">
        <w:rPr>
          <w:rFonts w:ascii="Arial" w:hAnsi="Arial" w:cs="Arial"/>
          <w:spacing w:val="-3"/>
          <w:lang w:val="es-ES_tradnl"/>
        </w:rPr>
        <w:t>b) La necesidad y oportunidad de su aprobación.</w:t>
      </w:r>
    </w:p>
    <w:p w14:paraId="26B2D947" w14:textId="77777777" w:rsidR="00586846" w:rsidRPr="00586846" w:rsidRDefault="00586846" w:rsidP="00586846">
      <w:pPr>
        <w:tabs>
          <w:tab w:val="left" w:pos="-720"/>
        </w:tabs>
        <w:suppressAutoHyphens/>
        <w:spacing w:before="120" w:after="120"/>
        <w:jc w:val="both"/>
        <w:rPr>
          <w:rFonts w:ascii="Arial" w:hAnsi="Arial" w:cs="Arial"/>
          <w:spacing w:val="-3"/>
          <w:lang w:val="es-ES_tradnl"/>
        </w:rPr>
      </w:pPr>
      <w:r w:rsidRPr="00586846">
        <w:rPr>
          <w:rFonts w:ascii="Arial" w:hAnsi="Arial" w:cs="Arial"/>
          <w:spacing w:val="-3"/>
          <w:lang w:val="es-ES_tradnl"/>
        </w:rPr>
        <w:t>c) Los objetivos de la norma.</w:t>
      </w:r>
    </w:p>
    <w:p w14:paraId="7149DB93" w14:textId="150D21EA" w:rsidR="00586846" w:rsidRPr="00C25415" w:rsidRDefault="00586846" w:rsidP="00C25415">
      <w:pPr>
        <w:tabs>
          <w:tab w:val="left" w:pos="-720"/>
        </w:tabs>
        <w:suppressAutoHyphens/>
        <w:spacing w:before="120" w:after="120"/>
        <w:jc w:val="both"/>
        <w:rPr>
          <w:rFonts w:ascii="Arial" w:hAnsi="Arial" w:cs="Arial"/>
          <w:spacing w:val="-3"/>
          <w:lang w:val="es-ES_tradnl"/>
        </w:rPr>
      </w:pPr>
      <w:r w:rsidRPr="00586846">
        <w:rPr>
          <w:rFonts w:ascii="Arial" w:hAnsi="Arial" w:cs="Arial"/>
          <w:spacing w:val="-3"/>
          <w:lang w:val="es-ES_tradnl"/>
        </w:rPr>
        <w:t>d) Las posibles soluciones alternativas regulatorias y no regulatorias.</w:t>
      </w:r>
    </w:p>
    <w:p w14:paraId="5AAAF8B1" w14:textId="77777777" w:rsidR="00E20068" w:rsidRPr="00990EEB" w:rsidRDefault="00CC6249" w:rsidP="00CC6249">
      <w:pPr>
        <w:tabs>
          <w:tab w:val="left" w:pos="-720"/>
        </w:tabs>
        <w:suppressAutoHyphens/>
        <w:spacing w:before="120" w:after="120"/>
        <w:jc w:val="both"/>
        <w:rPr>
          <w:rFonts w:ascii="Arial" w:hAnsi="Arial" w:cs="Arial"/>
          <w:b/>
          <w:bCs/>
          <w:spacing w:val="-3"/>
          <w:lang w:val="es-ES_tradnl"/>
        </w:rPr>
      </w:pPr>
      <w:r w:rsidRPr="00990EEB">
        <w:rPr>
          <w:rFonts w:ascii="Arial" w:hAnsi="Arial" w:cs="Arial"/>
          <w:b/>
          <w:bCs/>
          <w:spacing w:val="-3"/>
          <w:lang w:val="es-ES_tradnl"/>
        </w:rPr>
        <w:t>Texto oficial de la propuesta</w:t>
      </w:r>
    </w:p>
    <w:p w14:paraId="2C8653EE" w14:textId="21B93ECD" w:rsidR="00CC6249" w:rsidRPr="00990EEB" w:rsidRDefault="007D3127" w:rsidP="00CC6249">
      <w:pPr>
        <w:tabs>
          <w:tab w:val="left" w:pos="-720"/>
        </w:tabs>
        <w:suppressAutoHyphens/>
        <w:spacing w:before="120" w:after="120"/>
        <w:jc w:val="both"/>
        <w:rPr>
          <w:rFonts w:ascii="Arial" w:hAnsi="Arial" w:cs="Arial"/>
          <w:b/>
          <w:bCs/>
          <w:spacing w:val="-3"/>
          <w:lang w:val="es-ES_tradnl"/>
        </w:rPr>
      </w:pPr>
      <w:hyperlink r:id="rId10" w:history="1">
        <w:r w:rsidR="00E20068" w:rsidRPr="00990EEB">
          <w:rPr>
            <w:rStyle w:val="Hipervnculo"/>
            <w:rFonts w:ascii="Arial" w:hAnsi="Arial" w:cs="Arial"/>
            <w:b/>
            <w:bCs/>
            <w:spacing w:val="-3"/>
            <w:lang w:val="es-ES_tradnl"/>
          </w:rPr>
          <w:t>Reglamento propuesto para la autorización de la banda de frecuencias del SMS de 2 GHz</w:t>
        </w:r>
      </w:hyperlink>
    </w:p>
    <w:p w14:paraId="33CEA028" w14:textId="098EC5BF" w:rsidR="00CC6249" w:rsidRPr="00990EEB" w:rsidRDefault="00CC6249" w:rsidP="00CC6249">
      <w:pPr>
        <w:tabs>
          <w:tab w:val="left" w:pos="-720"/>
        </w:tabs>
        <w:suppressAutoHyphens/>
        <w:spacing w:before="120" w:after="120"/>
        <w:jc w:val="both"/>
        <w:rPr>
          <w:rFonts w:ascii="Arial" w:hAnsi="Arial" w:cs="Arial"/>
          <w:b/>
          <w:bCs/>
          <w:spacing w:val="-3"/>
          <w:lang w:val="es-ES_tradnl"/>
        </w:rPr>
      </w:pPr>
      <w:r w:rsidRPr="00990EEB">
        <w:rPr>
          <w:rFonts w:ascii="Arial" w:hAnsi="Arial" w:cs="Arial"/>
          <w:b/>
          <w:bCs/>
          <w:spacing w:val="-3"/>
          <w:lang w:val="es-ES_tradnl"/>
        </w:rPr>
        <w:t xml:space="preserve">Plazo y presentación de aportaciones  </w:t>
      </w:r>
    </w:p>
    <w:p w14:paraId="18E2DBD3" w14:textId="1974BCE9" w:rsidR="00CC6249" w:rsidRPr="00990EEB" w:rsidRDefault="00CC6249" w:rsidP="00CC6249">
      <w:pPr>
        <w:tabs>
          <w:tab w:val="left" w:pos="-720"/>
        </w:tabs>
        <w:suppressAutoHyphens/>
        <w:spacing w:before="120" w:after="120"/>
        <w:jc w:val="both"/>
        <w:rPr>
          <w:rFonts w:ascii="Arial" w:hAnsi="Arial" w:cs="Arial"/>
          <w:spacing w:val="-3"/>
          <w:lang w:val="es-ES_tradnl"/>
        </w:rPr>
      </w:pPr>
      <w:r w:rsidRPr="00990EEB">
        <w:rPr>
          <w:rFonts w:ascii="Arial" w:hAnsi="Arial" w:cs="Arial"/>
          <w:spacing w:val="-3"/>
          <w:lang w:val="es-ES_tradnl"/>
        </w:rPr>
        <w:t xml:space="preserve">Las aportaciones podrán remitirse a la dirección de correo: </w:t>
      </w:r>
      <w:hyperlink r:id="rId11" w:history="1">
        <w:r w:rsidRPr="00990EEB">
          <w:rPr>
            <w:rStyle w:val="Hipervnculo"/>
            <w:rFonts w:ascii="Arial" w:hAnsi="Arial" w:cs="Arial"/>
            <w:spacing w:val="-3"/>
            <w:lang w:val="es-ES_tradnl"/>
          </w:rPr>
          <w:t>consultapublica.normasteleco@digital.gob.es</w:t>
        </w:r>
      </w:hyperlink>
      <w:r w:rsidRPr="00990EEB">
        <w:rPr>
          <w:rFonts w:ascii="Arial" w:hAnsi="Arial" w:cs="Arial"/>
          <w:spacing w:val="-3"/>
          <w:lang w:val="es-ES_tradnl"/>
        </w:rPr>
        <w:t xml:space="preserve"> indicando en el asunto:  </w:t>
      </w:r>
    </w:p>
    <w:p w14:paraId="5217F775" w14:textId="7C2AEA8F" w:rsidR="00CC6249" w:rsidRPr="00990EEB" w:rsidRDefault="00CC6249" w:rsidP="00CC6249">
      <w:pPr>
        <w:tabs>
          <w:tab w:val="left" w:pos="-720"/>
        </w:tabs>
        <w:suppressAutoHyphens/>
        <w:spacing w:before="120" w:after="120"/>
        <w:jc w:val="both"/>
        <w:rPr>
          <w:rFonts w:ascii="Arial" w:hAnsi="Arial" w:cs="Arial"/>
          <w:spacing w:val="-3"/>
          <w:lang w:val="es-ES_tradnl"/>
        </w:rPr>
      </w:pPr>
      <w:r w:rsidRPr="00990EEB">
        <w:rPr>
          <w:rFonts w:ascii="Arial" w:hAnsi="Arial" w:cs="Arial"/>
          <w:spacing w:val="-3"/>
          <w:lang w:val="es-ES_tradnl"/>
        </w:rPr>
        <w:t>"Consulta pública Reglamento 2</w:t>
      </w:r>
      <w:r w:rsidR="009F35C8">
        <w:rPr>
          <w:rFonts w:ascii="Arial" w:hAnsi="Arial" w:cs="Arial"/>
          <w:spacing w:val="-3"/>
          <w:lang w:val="es-ES_tradnl"/>
        </w:rPr>
        <w:t xml:space="preserve"> </w:t>
      </w:r>
      <w:r w:rsidRPr="00990EEB">
        <w:rPr>
          <w:rFonts w:ascii="Arial" w:hAnsi="Arial" w:cs="Arial"/>
          <w:spacing w:val="-3"/>
          <w:lang w:val="es-ES_tradnl"/>
        </w:rPr>
        <w:t xml:space="preserve">GHZ. – Aportaciones [nombre o razón social]" </w:t>
      </w:r>
    </w:p>
    <w:p w14:paraId="2CF253E6" w14:textId="495ECE2A" w:rsidR="00CC6249" w:rsidRPr="00990EEB" w:rsidRDefault="00CC6249" w:rsidP="00CC6249">
      <w:pPr>
        <w:tabs>
          <w:tab w:val="left" w:pos="-720"/>
        </w:tabs>
        <w:suppressAutoHyphens/>
        <w:spacing w:before="120" w:after="120"/>
        <w:jc w:val="both"/>
        <w:rPr>
          <w:rFonts w:ascii="Arial" w:hAnsi="Arial" w:cs="Arial"/>
          <w:spacing w:val="-3"/>
          <w:lang w:val="es-ES_tradnl"/>
        </w:rPr>
      </w:pPr>
      <w:r w:rsidRPr="00990EEB">
        <w:rPr>
          <w:rFonts w:ascii="Arial" w:hAnsi="Arial" w:cs="Arial"/>
          <w:spacing w:val="-3"/>
          <w:lang w:val="es-ES_tradnl"/>
        </w:rPr>
        <w:lastRenderedPageBreak/>
        <w:t xml:space="preserve">La audiencia pública estará abierta </w:t>
      </w:r>
      <w:r w:rsidRPr="00586846">
        <w:rPr>
          <w:rFonts w:ascii="Arial" w:hAnsi="Arial" w:cs="Arial"/>
          <w:b/>
          <w:bCs/>
          <w:spacing w:val="-3"/>
          <w:highlight w:val="yellow"/>
          <w:lang w:val="es-ES_tradnl"/>
        </w:rPr>
        <w:t xml:space="preserve">desde el </w:t>
      </w:r>
      <w:r w:rsidR="00990EEB" w:rsidRPr="00586846">
        <w:rPr>
          <w:rFonts w:ascii="Arial" w:hAnsi="Arial" w:cs="Arial"/>
          <w:b/>
          <w:bCs/>
          <w:spacing w:val="-3"/>
          <w:highlight w:val="yellow"/>
          <w:lang w:val="es-ES_tradnl"/>
        </w:rPr>
        <w:t>13</w:t>
      </w:r>
      <w:r w:rsidRPr="00586846">
        <w:rPr>
          <w:rFonts w:ascii="Arial" w:hAnsi="Arial" w:cs="Arial"/>
          <w:b/>
          <w:bCs/>
          <w:spacing w:val="-3"/>
          <w:highlight w:val="yellow"/>
          <w:lang w:val="es-ES_tradnl"/>
        </w:rPr>
        <w:t xml:space="preserve"> de </w:t>
      </w:r>
      <w:r w:rsidR="00990EEB" w:rsidRPr="00586846">
        <w:rPr>
          <w:rFonts w:ascii="Arial" w:hAnsi="Arial" w:cs="Arial"/>
          <w:b/>
          <w:bCs/>
          <w:spacing w:val="-3"/>
          <w:highlight w:val="yellow"/>
          <w:lang w:val="es-ES_tradnl"/>
        </w:rPr>
        <w:t>julio</w:t>
      </w:r>
      <w:r w:rsidRPr="00586846">
        <w:rPr>
          <w:rFonts w:ascii="Arial" w:hAnsi="Arial" w:cs="Arial"/>
          <w:b/>
          <w:bCs/>
          <w:spacing w:val="-3"/>
          <w:highlight w:val="yellow"/>
          <w:lang w:val="es-ES_tradnl"/>
        </w:rPr>
        <w:t xml:space="preserve"> hasta el </w:t>
      </w:r>
      <w:r w:rsidR="00990EEB" w:rsidRPr="00586846">
        <w:rPr>
          <w:rFonts w:ascii="Arial" w:hAnsi="Arial" w:cs="Arial"/>
          <w:b/>
          <w:bCs/>
          <w:spacing w:val="-3"/>
          <w:highlight w:val="yellow"/>
          <w:lang w:val="es-ES_tradnl"/>
        </w:rPr>
        <w:t>3</w:t>
      </w:r>
      <w:r w:rsidRPr="00586846">
        <w:rPr>
          <w:rFonts w:ascii="Arial" w:hAnsi="Arial" w:cs="Arial"/>
          <w:b/>
          <w:bCs/>
          <w:spacing w:val="-3"/>
          <w:highlight w:val="yellow"/>
          <w:lang w:val="es-ES_tradnl"/>
        </w:rPr>
        <w:t xml:space="preserve"> de</w:t>
      </w:r>
      <w:r w:rsidR="00990EEB" w:rsidRPr="00586846">
        <w:rPr>
          <w:rFonts w:ascii="Arial" w:hAnsi="Arial" w:cs="Arial"/>
          <w:b/>
          <w:bCs/>
          <w:spacing w:val="-3"/>
          <w:highlight w:val="yellow"/>
          <w:lang w:val="es-ES_tradnl"/>
        </w:rPr>
        <w:t xml:space="preserve"> agosto</w:t>
      </w:r>
      <w:r w:rsidRPr="00586846">
        <w:rPr>
          <w:rFonts w:ascii="Arial" w:hAnsi="Arial" w:cs="Arial"/>
          <w:b/>
          <w:bCs/>
          <w:spacing w:val="-3"/>
          <w:highlight w:val="yellow"/>
          <w:lang w:val="es-ES_tradnl"/>
        </w:rPr>
        <w:t xml:space="preserve"> de 2026</w:t>
      </w:r>
      <w:r w:rsidRPr="00990EEB">
        <w:rPr>
          <w:rFonts w:ascii="Arial" w:hAnsi="Arial" w:cs="Arial"/>
          <w:spacing w:val="-3"/>
          <w:lang w:val="es-ES_tradnl"/>
        </w:rPr>
        <w:t xml:space="preserve"> a las 23:59. Durante este periodo, todos los interesados pueden presentar sus aportaciones.</w:t>
      </w:r>
    </w:p>
    <w:sectPr w:rsidR="00CC6249" w:rsidRPr="00990EEB">
      <w:headerReference w:type="default" r:id="rId12"/>
      <w:footerReference w:type="default" r:id="rId13"/>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C550" w14:textId="77777777" w:rsidR="008772B3" w:rsidRDefault="008772B3" w:rsidP="003E4955">
      <w:r>
        <w:separator/>
      </w:r>
    </w:p>
  </w:endnote>
  <w:endnote w:type="continuationSeparator" w:id="0">
    <w:p w14:paraId="4D2B55EF" w14:textId="77777777" w:rsidR="008772B3" w:rsidRDefault="008772B3" w:rsidP="003E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986360"/>
      <w:docPartObj>
        <w:docPartGallery w:val="Page Numbers (Bottom of Page)"/>
        <w:docPartUnique/>
      </w:docPartObj>
    </w:sdtPr>
    <w:sdtEndPr/>
    <w:sdtContent>
      <w:p w14:paraId="1C97127E" w14:textId="02FF4593" w:rsidR="003E4955" w:rsidRDefault="003E4955">
        <w:pPr>
          <w:pStyle w:val="Piedepgina"/>
          <w:jc w:val="center"/>
        </w:pPr>
        <w:r>
          <w:fldChar w:fldCharType="begin"/>
        </w:r>
        <w:r>
          <w:instrText>PAGE   \* MERGEFORMAT</w:instrText>
        </w:r>
        <w:r>
          <w:fldChar w:fldCharType="separate"/>
        </w:r>
        <w:r>
          <w:t>2</w:t>
        </w:r>
        <w:r>
          <w:fldChar w:fldCharType="end"/>
        </w:r>
      </w:p>
    </w:sdtContent>
  </w:sdt>
  <w:p w14:paraId="42536854" w14:textId="77777777" w:rsidR="003E4955" w:rsidRDefault="003E49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84F99" w14:textId="77777777" w:rsidR="008772B3" w:rsidRDefault="008772B3" w:rsidP="003E4955">
      <w:r>
        <w:separator/>
      </w:r>
    </w:p>
  </w:footnote>
  <w:footnote w:type="continuationSeparator" w:id="0">
    <w:p w14:paraId="20237828" w14:textId="77777777" w:rsidR="008772B3" w:rsidRDefault="008772B3" w:rsidP="003E4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4547" w14:textId="649E537D" w:rsidR="00CC6249" w:rsidRDefault="00CC6249">
    <w:pPr>
      <w:pStyle w:val="Encabezado"/>
    </w:pPr>
    <w:r w:rsidRPr="00CC6249">
      <w:rPr>
        <w:noProof/>
      </w:rPr>
      <w:drawing>
        <wp:inline distT="0" distB="0" distL="0" distR="0" wp14:anchorId="6C077A23" wp14:editId="6CE366B5">
          <wp:extent cx="5400040" cy="771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B06DA7"/>
    <w:multiLevelType w:val="hybridMultilevel"/>
    <w:tmpl w:val="4888DC76"/>
    <w:lvl w:ilvl="0" w:tplc="0C0A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B2500"/>
    <w:multiLevelType w:val="hybridMultilevel"/>
    <w:tmpl w:val="6D54C4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925263"/>
    <w:multiLevelType w:val="hybridMultilevel"/>
    <w:tmpl w:val="C4D0005E"/>
    <w:lvl w:ilvl="0" w:tplc="3A88C14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201BC0"/>
    <w:multiLevelType w:val="hybridMultilevel"/>
    <w:tmpl w:val="98B604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DE3191"/>
    <w:multiLevelType w:val="hybridMultilevel"/>
    <w:tmpl w:val="6FFC7ADE"/>
    <w:lvl w:ilvl="0" w:tplc="3A88C14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2A0DE5"/>
    <w:multiLevelType w:val="hybridMultilevel"/>
    <w:tmpl w:val="60D8B33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572D92"/>
    <w:multiLevelType w:val="hybridMultilevel"/>
    <w:tmpl w:val="CC58E3B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952D82"/>
    <w:multiLevelType w:val="hybridMultilevel"/>
    <w:tmpl w:val="2A988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B15D4"/>
    <w:multiLevelType w:val="hybridMultilevel"/>
    <w:tmpl w:val="0EAC63A4"/>
    <w:lvl w:ilvl="0" w:tplc="CB16C968">
      <w:start w:val="1"/>
      <w:numFmt w:val="decimal"/>
      <w:lvlText w:val="%1."/>
      <w:lvlJc w:val="left"/>
      <w:pPr>
        <w:ind w:left="1410" w:hanging="705"/>
      </w:pPr>
      <w:rPr>
        <w:rFonts w:hint="default"/>
        <w:i w:val="0"/>
      </w:rPr>
    </w:lvl>
    <w:lvl w:ilvl="1" w:tplc="0C0A0019">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15:restartNumberingAfterBreak="0">
    <w:nsid w:val="274820B8"/>
    <w:multiLevelType w:val="hybridMultilevel"/>
    <w:tmpl w:val="039A75A6"/>
    <w:lvl w:ilvl="0" w:tplc="0C0A0005">
      <w:start w:val="1"/>
      <w:numFmt w:val="bullet"/>
      <w:lvlText w:val=""/>
      <w:lvlJc w:val="left"/>
      <w:pPr>
        <w:ind w:left="781" w:hanging="360"/>
      </w:pPr>
      <w:rPr>
        <w:rFonts w:ascii="Wingdings" w:hAnsi="Wingdings"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0" w15:restartNumberingAfterBreak="0">
    <w:nsid w:val="67877716"/>
    <w:multiLevelType w:val="hybridMultilevel"/>
    <w:tmpl w:val="97D8C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1B2205"/>
    <w:multiLevelType w:val="singleLevel"/>
    <w:tmpl w:val="BD9804F6"/>
    <w:lvl w:ilvl="0">
      <w:start w:val="3"/>
      <w:numFmt w:val="decimal"/>
      <w:lvlText w:val="%1."/>
      <w:lvlJc w:val="left"/>
      <w:pPr>
        <w:tabs>
          <w:tab w:val="num" w:pos="1440"/>
        </w:tabs>
        <w:ind w:left="1440" w:hanging="720"/>
      </w:pPr>
      <w:rPr>
        <w:rFonts w:hint="default"/>
        <w:i w:val="0"/>
      </w:rPr>
    </w:lvl>
  </w:abstractNum>
  <w:abstractNum w:abstractNumId="12" w15:restartNumberingAfterBreak="0">
    <w:nsid w:val="6EC2590E"/>
    <w:multiLevelType w:val="hybridMultilevel"/>
    <w:tmpl w:val="2212556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8B875A0"/>
    <w:multiLevelType w:val="hybridMultilevel"/>
    <w:tmpl w:val="CF463A02"/>
    <w:lvl w:ilvl="0" w:tplc="CEECA93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7ADA4681"/>
    <w:multiLevelType w:val="hybridMultilevel"/>
    <w:tmpl w:val="F73AECD6"/>
    <w:lvl w:ilvl="0" w:tplc="5276F3E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2"/>
  </w:num>
  <w:num w:numId="5">
    <w:abstractNumId w:val="4"/>
  </w:num>
  <w:num w:numId="6">
    <w:abstractNumId w:val="9"/>
  </w:num>
  <w:num w:numId="7">
    <w:abstractNumId w:val="6"/>
  </w:num>
  <w:num w:numId="8">
    <w:abstractNumId w:val="12"/>
  </w:num>
  <w:num w:numId="9">
    <w:abstractNumId w:val="0"/>
  </w:num>
  <w:num w:numId="10">
    <w:abstractNumId w:val="1"/>
  </w:num>
  <w:num w:numId="11">
    <w:abstractNumId w:val="5"/>
  </w:num>
  <w:num w:numId="12">
    <w:abstractNumId w:val="10"/>
  </w:num>
  <w:num w:numId="13">
    <w:abstractNumId w:val="13"/>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DFA"/>
    <w:rsid w:val="00000E9E"/>
    <w:rsid w:val="00020B82"/>
    <w:rsid w:val="000266E2"/>
    <w:rsid w:val="0003488A"/>
    <w:rsid w:val="000661F5"/>
    <w:rsid w:val="00071051"/>
    <w:rsid w:val="00085346"/>
    <w:rsid w:val="000911C6"/>
    <w:rsid w:val="000A52A2"/>
    <w:rsid w:val="000A6459"/>
    <w:rsid w:val="000C7BE8"/>
    <w:rsid w:val="000E66D7"/>
    <w:rsid w:val="000F5081"/>
    <w:rsid w:val="00102D25"/>
    <w:rsid w:val="00102DFA"/>
    <w:rsid w:val="001030CE"/>
    <w:rsid w:val="00113C99"/>
    <w:rsid w:val="001271AE"/>
    <w:rsid w:val="00134D0F"/>
    <w:rsid w:val="001412E6"/>
    <w:rsid w:val="00142977"/>
    <w:rsid w:val="00147395"/>
    <w:rsid w:val="001553E0"/>
    <w:rsid w:val="00162F82"/>
    <w:rsid w:val="001A40F9"/>
    <w:rsid w:val="001A6279"/>
    <w:rsid w:val="001B1D6C"/>
    <w:rsid w:val="001B68E6"/>
    <w:rsid w:val="001C0FEE"/>
    <w:rsid w:val="001E6DE6"/>
    <w:rsid w:val="00200011"/>
    <w:rsid w:val="00213B1A"/>
    <w:rsid w:val="002304F9"/>
    <w:rsid w:val="002348AA"/>
    <w:rsid w:val="00242185"/>
    <w:rsid w:val="002635B0"/>
    <w:rsid w:val="002B2DA1"/>
    <w:rsid w:val="002C7855"/>
    <w:rsid w:val="002D3507"/>
    <w:rsid w:val="002F6F9F"/>
    <w:rsid w:val="003152B1"/>
    <w:rsid w:val="00320EE9"/>
    <w:rsid w:val="00323CE6"/>
    <w:rsid w:val="00342475"/>
    <w:rsid w:val="003556E1"/>
    <w:rsid w:val="0035661D"/>
    <w:rsid w:val="003714CE"/>
    <w:rsid w:val="0038077F"/>
    <w:rsid w:val="00382BE2"/>
    <w:rsid w:val="0039305B"/>
    <w:rsid w:val="003A4D1D"/>
    <w:rsid w:val="003A5331"/>
    <w:rsid w:val="003A69E9"/>
    <w:rsid w:val="003E4955"/>
    <w:rsid w:val="00410B6A"/>
    <w:rsid w:val="0042086C"/>
    <w:rsid w:val="00423270"/>
    <w:rsid w:val="004325E9"/>
    <w:rsid w:val="004433C4"/>
    <w:rsid w:val="00450EC3"/>
    <w:rsid w:val="00460DC0"/>
    <w:rsid w:val="0046483D"/>
    <w:rsid w:val="00470241"/>
    <w:rsid w:val="00486DB2"/>
    <w:rsid w:val="004C1A83"/>
    <w:rsid w:val="004C1B4D"/>
    <w:rsid w:val="004E01ED"/>
    <w:rsid w:val="004E0335"/>
    <w:rsid w:val="004E2148"/>
    <w:rsid w:val="004E4AEA"/>
    <w:rsid w:val="004F519D"/>
    <w:rsid w:val="005143A0"/>
    <w:rsid w:val="005176D3"/>
    <w:rsid w:val="0052435B"/>
    <w:rsid w:val="00527FB9"/>
    <w:rsid w:val="005319C3"/>
    <w:rsid w:val="00551733"/>
    <w:rsid w:val="00564C51"/>
    <w:rsid w:val="00575BC6"/>
    <w:rsid w:val="005862E4"/>
    <w:rsid w:val="00586846"/>
    <w:rsid w:val="005A14B6"/>
    <w:rsid w:val="005A217E"/>
    <w:rsid w:val="005A278F"/>
    <w:rsid w:val="005B0E3E"/>
    <w:rsid w:val="005C2693"/>
    <w:rsid w:val="005C39AD"/>
    <w:rsid w:val="005C7BC6"/>
    <w:rsid w:val="005D2E1E"/>
    <w:rsid w:val="005D4704"/>
    <w:rsid w:val="005E0A04"/>
    <w:rsid w:val="005E0B82"/>
    <w:rsid w:val="00613510"/>
    <w:rsid w:val="00615E22"/>
    <w:rsid w:val="006219B7"/>
    <w:rsid w:val="006257B5"/>
    <w:rsid w:val="0063040B"/>
    <w:rsid w:val="006323D8"/>
    <w:rsid w:val="0063560B"/>
    <w:rsid w:val="00651ADE"/>
    <w:rsid w:val="00667FA7"/>
    <w:rsid w:val="0067144B"/>
    <w:rsid w:val="006873D6"/>
    <w:rsid w:val="006A0F10"/>
    <w:rsid w:val="006B1B6A"/>
    <w:rsid w:val="006C24FA"/>
    <w:rsid w:val="006C317D"/>
    <w:rsid w:val="006E68F4"/>
    <w:rsid w:val="006F1B6E"/>
    <w:rsid w:val="007071CC"/>
    <w:rsid w:val="00730387"/>
    <w:rsid w:val="00730BD9"/>
    <w:rsid w:val="00735540"/>
    <w:rsid w:val="00740BC8"/>
    <w:rsid w:val="00741087"/>
    <w:rsid w:val="00764A07"/>
    <w:rsid w:val="00777034"/>
    <w:rsid w:val="00791866"/>
    <w:rsid w:val="007A2D27"/>
    <w:rsid w:val="007B0340"/>
    <w:rsid w:val="007C43EA"/>
    <w:rsid w:val="007D0CC2"/>
    <w:rsid w:val="007D294A"/>
    <w:rsid w:val="007D3127"/>
    <w:rsid w:val="007D5A3B"/>
    <w:rsid w:val="007F447A"/>
    <w:rsid w:val="00806D53"/>
    <w:rsid w:val="008117A0"/>
    <w:rsid w:val="00821549"/>
    <w:rsid w:val="008239BF"/>
    <w:rsid w:val="00834339"/>
    <w:rsid w:val="00847AF9"/>
    <w:rsid w:val="00854A2C"/>
    <w:rsid w:val="008603DE"/>
    <w:rsid w:val="00864EF3"/>
    <w:rsid w:val="00872BF3"/>
    <w:rsid w:val="008772B3"/>
    <w:rsid w:val="00886F02"/>
    <w:rsid w:val="00896019"/>
    <w:rsid w:val="008A4D6B"/>
    <w:rsid w:val="008C5F92"/>
    <w:rsid w:val="008C6EAF"/>
    <w:rsid w:val="008D0EB0"/>
    <w:rsid w:val="008D2A8F"/>
    <w:rsid w:val="008E4067"/>
    <w:rsid w:val="008E4EFB"/>
    <w:rsid w:val="008F1D67"/>
    <w:rsid w:val="00913043"/>
    <w:rsid w:val="00913380"/>
    <w:rsid w:val="00945C82"/>
    <w:rsid w:val="0095608F"/>
    <w:rsid w:val="00970E74"/>
    <w:rsid w:val="009743DB"/>
    <w:rsid w:val="00975F2D"/>
    <w:rsid w:val="009776DC"/>
    <w:rsid w:val="00977A9A"/>
    <w:rsid w:val="00977BCD"/>
    <w:rsid w:val="0098573E"/>
    <w:rsid w:val="00987A1D"/>
    <w:rsid w:val="00990643"/>
    <w:rsid w:val="00990EEB"/>
    <w:rsid w:val="0099635F"/>
    <w:rsid w:val="009A11D0"/>
    <w:rsid w:val="009A4937"/>
    <w:rsid w:val="009B258E"/>
    <w:rsid w:val="009B69DB"/>
    <w:rsid w:val="009C0001"/>
    <w:rsid w:val="009C548E"/>
    <w:rsid w:val="009D282C"/>
    <w:rsid w:val="009D285C"/>
    <w:rsid w:val="009E053A"/>
    <w:rsid w:val="009E13E8"/>
    <w:rsid w:val="009F35C8"/>
    <w:rsid w:val="009F59CA"/>
    <w:rsid w:val="00A07492"/>
    <w:rsid w:val="00A1433C"/>
    <w:rsid w:val="00A34834"/>
    <w:rsid w:val="00A36BE8"/>
    <w:rsid w:val="00A465D3"/>
    <w:rsid w:val="00A51781"/>
    <w:rsid w:val="00A539C7"/>
    <w:rsid w:val="00A64001"/>
    <w:rsid w:val="00A6788A"/>
    <w:rsid w:val="00A75FBA"/>
    <w:rsid w:val="00AA30FE"/>
    <w:rsid w:val="00AC1CD9"/>
    <w:rsid w:val="00AC43CA"/>
    <w:rsid w:val="00AD1B05"/>
    <w:rsid w:val="00AE77EE"/>
    <w:rsid w:val="00AF0AF0"/>
    <w:rsid w:val="00B1226A"/>
    <w:rsid w:val="00B23F0C"/>
    <w:rsid w:val="00B26CCA"/>
    <w:rsid w:val="00B276DB"/>
    <w:rsid w:val="00B314AB"/>
    <w:rsid w:val="00B32EEA"/>
    <w:rsid w:val="00B5072D"/>
    <w:rsid w:val="00B57F68"/>
    <w:rsid w:val="00B64367"/>
    <w:rsid w:val="00B67BD9"/>
    <w:rsid w:val="00BA6E72"/>
    <w:rsid w:val="00BB7595"/>
    <w:rsid w:val="00BC0C97"/>
    <w:rsid w:val="00BD05CC"/>
    <w:rsid w:val="00BD0CE7"/>
    <w:rsid w:val="00BE0D77"/>
    <w:rsid w:val="00BE56E1"/>
    <w:rsid w:val="00C0272A"/>
    <w:rsid w:val="00C05D9B"/>
    <w:rsid w:val="00C25415"/>
    <w:rsid w:val="00C3330D"/>
    <w:rsid w:val="00C5479C"/>
    <w:rsid w:val="00C610DB"/>
    <w:rsid w:val="00C71534"/>
    <w:rsid w:val="00C771A7"/>
    <w:rsid w:val="00C82026"/>
    <w:rsid w:val="00C833EF"/>
    <w:rsid w:val="00C85849"/>
    <w:rsid w:val="00C87F71"/>
    <w:rsid w:val="00C94E51"/>
    <w:rsid w:val="00CB05F9"/>
    <w:rsid w:val="00CB6583"/>
    <w:rsid w:val="00CB7B75"/>
    <w:rsid w:val="00CC6249"/>
    <w:rsid w:val="00CF5E42"/>
    <w:rsid w:val="00D035BA"/>
    <w:rsid w:val="00D0486E"/>
    <w:rsid w:val="00D0692B"/>
    <w:rsid w:val="00D12A5A"/>
    <w:rsid w:val="00D20697"/>
    <w:rsid w:val="00D2306B"/>
    <w:rsid w:val="00D23754"/>
    <w:rsid w:val="00D24011"/>
    <w:rsid w:val="00D36115"/>
    <w:rsid w:val="00D361F4"/>
    <w:rsid w:val="00D44647"/>
    <w:rsid w:val="00D5637E"/>
    <w:rsid w:val="00D625CD"/>
    <w:rsid w:val="00D875CE"/>
    <w:rsid w:val="00DA74DC"/>
    <w:rsid w:val="00DA7632"/>
    <w:rsid w:val="00DB5807"/>
    <w:rsid w:val="00DD2EC0"/>
    <w:rsid w:val="00DF21E2"/>
    <w:rsid w:val="00E17220"/>
    <w:rsid w:val="00E20068"/>
    <w:rsid w:val="00E32C41"/>
    <w:rsid w:val="00E455C1"/>
    <w:rsid w:val="00E6574A"/>
    <w:rsid w:val="00E7202D"/>
    <w:rsid w:val="00E80DAC"/>
    <w:rsid w:val="00E92E6B"/>
    <w:rsid w:val="00E959EE"/>
    <w:rsid w:val="00EA26F0"/>
    <w:rsid w:val="00EA41DF"/>
    <w:rsid w:val="00EB42ED"/>
    <w:rsid w:val="00EC2238"/>
    <w:rsid w:val="00EF1AB2"/>
    <w:rsid w:val="00EF46AB"/>
    <w:rsid w:val="00F07738"/>
    <w:rsid w:val="00F1448F"/>
    <w:rsid w:val="00F23C7F"/>
    <w:rsid w:val="00F2566A"/>
    <w:rsid w:val="00F43961"/>
    <w:rsid w:val="00F45398"/>
    <w:rsid w:val="00F631B0"/>
    <w:rsid w:val="00F64414"/>
    <w:rsid w:val="00F72BB5"/>
    <w:rsid w:val="00F73A7B"/>
    <w:rsid w:val="00F81EA1"/>
    <w:rsid w:val="00F824D4"/>
    <w:rsid w:val="00F8432D"/>
    <w:rsid w:val="00F934DA"/>
    <w:rsid w:val="00F93FB5"/>
    <w:rsid w:val="00F976C8"/>
    <w:rsid w:val="00FB634A"/>
    <w:rsid w:val="00FB6A10"/>
    <w:rsid w:val="00FC0759"/>
    <w:rsid w:val="00FC6418"/>
    <w:rsid w:val="00FD5A3E"/>
    <w:rsid w:val="00FE6398"/>
    <w:rsid w:val="00FE68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D70D2"/>
  <w15:chartTrackingRefBased/>
  <w15:docId w15:val="{6455088D-67B1-4F4E-B2CA-4F2224DA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1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EB42ED"/>
  </w:style>
  <w:style w:type="paragraph" w:styleId="Prrafodelista">
    <w:name w:val="List Paragraph"/>
    <w:basedOn w:val="Normal"/>
    <w:uiPriority w:val="34"/>
    <w:qFormat/>
    <w:rsid w:val="005319C3"/>
    <w:pPr>
      <w:ind w:left="720"/>
      <w:contextualSpacing/>
    </w:pPr>
  </w:style>
  <w:style w:type="character" w:styleId="Hipervnculo">
    <w:name w:val="Hyperlink"/>
    <w:basedOn w:val="Fuentedeprrafopredeter"/>
    <w:uiPriority w:val="99"/>
    <w:unhideWhenUsed/>
    <w:rsid w:val="00162F82"/>
    <w:rPr>
      <w:color w:val="0563C1" w:themeColor="hyperlink"/>
      <w:u w:val="single"/>
    </w:rPr>
  </w:style>
  <w:style w:type="character" w:styleId="Mencinsinresolver">
    <w:name w:val="Unresolved Mention"/>
    <w:basedOn w:val="Fuentedeprrafopredeter"/>
    <w:uiPriority w:val="99"/>
    <w:semiHidden/>
    <w:unhideWhenUsed/>
    <w:rsid w:val="00162F82"/>
    <w:rPr>
      <w:color w:val="605E5C"/>
      <w:shd w:val="clear" w:color="auto" w:fill="E1DFDD"/>
    </w:rPr>
  </w:style>
  <w:style w:type="paragraph" w:styleId="NormalWeb">
    <w:name w:val="Normal (Web)"/>
    <w:basedOn w:val="Normal"/>
    <w:uiPriority w:val="99"/>
    <w:semiHidden/>
    <w:unhideWhenUsed/>
    <w:rsid w:val="00F631B0"/>
    <w:rPr>
      <w:sz w:val="24"/>
      <w:szCs w:val="24"/>
    </w:rPr>
  </w:style>
  <w:style w:type="paragraph" w:styleId="Encabezado">
    <w:name w:val="header"/>
    <w:basedOn w:val="Normal"/>
    <w:link w:val="EncabezadoCar"/>
    <w:uiPriority w:val="99"/>
    <w:unhideWhenUsed/>
    <w:rsid w:val="003E4955"/>
    <w:pPr>
      <w:tabs>
        <w:tab w:val="center" w:pos="4252"/>
        <w:tab w:val="right" w:pos="8504"/>
      </w:tabs>
    </w:pPr>
  </w:style>
  <w:style w:type="character" w:customStyle="1" w:styleId="EncabezadoCar">
    <w:name w:val="Encabezado Car"/>
    <w:basedOn w:val="Fuentedeprrafopredeter"/>
    <w:link w:val="Encabezado"/>
    <w:uiPriority w:val="99"/>
    <w:rsid w:val="003E4955"/>
  </w:style>
  <w:style w:type="paragraph" w:styleId="Piedepgina">
    <w:name w:val="footer"/>
    <w:basedOn w:val="Normal"/>
    <w:link w:val="PiedepginaCar"/>
    <w:uiPriority w:val="99"/>
    <w:unhideWhenUsed/>
    <w:rsid w:val="003E4955"/>
    <w:pPr>
      <w:tabs>
        <w:tab w:val="center" w:pos="4252"/>
        <w:tab w:val="right" w:pos="8504"/>
      </w:tabs>
    </w:pPr>
  </w:style>
  <w:style w:type="character" w:customStyle="1" w:styleId="PiedepginaCar">
    <w:name w:val="Pie de página Car"/>
    <w:basedOn w:val="Fuentedeprrafopredeter"/>
    <w:link w:val="Piedepgina"/>
    <w:uiPriority w:val="99"/>
    <w:rsid w:val="003E4955"/>
  </w:style>
  <w:style w:type="paragraph" w:customStyle="1" w:styleId="isselectedend">
    <w:name w:val="isselectedend"/>
    <w:basedOn w:val="Normal"/>
    <w:rsid w:val="007D294A"/>
    <w:pPr>
      <w:spacing w:before="100" w:beforeAutospacing="1" w:after="100" w:afterAutospacing="1"/>
    </w:pPr>
    <w:rPr>
      <w:sz w:val="24"/>
      <w:szCs w:val="24"/>
      <w:lang w:eastAsia="es-ES_tradnl"/>
    </w:rPr>
  </w:style>
  <w:style w:type="character" w:styleId="Refdecomentario">
    <w:name w:val="annotation reference"/>
    <w:basedOn w:val="Fuentedeprrafopredeter"/>
    <w:uiPriority w:val="99"/>
    <w:semiHidden/>
    <w:unhideWhenUsed/>
    <w:rsid w:val="00586846"/>
    <w:rPr>
      <w:sz w:val="16"/>
      <w:szCs w:val="16"/>
    </w:rPr>
  </w:style>
  <w:style w:type="paragraph" w:styleId="Textocomentario">
    <w:name w:val="annotation text"/>
    <w:basedOn w:val="Normal"/>
    <w:link w:val="TextocomentarioCar"/>
    <w:uiPriority w:val="99"/>
    <w:semiHidden/>
    <w:unhideWhenUsed/>
    <w:rsid w:val="00586846"/>
  </w:style>
  <w:style w:type="character" w:customStyle="1" w:styleId="TextocomentarioCar">
    <w:name w:val="Texto comentario Car"/>
    <w:basedOn w:val="Fuentedeprrafopredeter"/>
    <w:link w:val="Textocomentario"/>
    <w:uiPriority w:val="99"/>
    <w:semiHidden/>
    <w:rsid w:val="00586846"/>
  </w:style>
  <w:style w:type="paragraph" w:styleId="Asuntodelcomentario">
    <w:name w:val="annotation subject"/>
    <w:basedOn w:val="Textocomentario"/>
    <w:next w:val="Textocomentario"/>
    <w:link w:val="AsuntodelcomentarioCar"/>
    <w:uiPriority w:val="99"/>
    <w:semiHidden/>
    <w:unhideWhenUsed/>
    <w:rsid w:val="00586846"/>
    <w:rPr>
      <w:b/>
      <w:bCs/>
    </w:rPr>
  </w:style>
  <w:style w:type="character" w:customStyle="1" w:styleId="AsuntodelcomentarioCar">
    <w:name w:val="Asunto del comentario Car"/>
    <w:basedOn w:val="TextocomentarioCar"/>
    <w:link w:val="Asuntodelcomentario"/>
    <w:uiPriority w:val="99"/>
    <w:semiHidden/>
    <w:rsid w:val="005868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sultapublica.normasteleco@digital.gob.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igital-strategy.ec.europa.eu/es/library/proposal-eu-level-authorisation-systems-providing-mobile-satellite-services-m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99f447-5b1f-4cca-8248-ad44a73ddeed">
      <Terms xmlns="http://schemas.microsoft.com/office/infopath/2007/PartnerControls"/>
    </lcf76f155ced4ddcb4097134ff3c332f>
    <TaxCatchAll xmlns="ded5c3b6-2f49-4205-9761-8a79573318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F67835D2D18A6478FC282C9B1C96F71" ma:contentTypeVersion="13" ma:contentTypeDescription="Crear nuevo documento." ma:contentTypeScope="" ma:versionID="4ddc42da67fac3853e6e41a2cde79a7c">
  <xsd:schema xmlns:xsd="http://www.w3.org/2001/XMLSchema" xmlns:xs="http://www.w3.org/2001/XMLSchema" xmlns:p="http://schemas.microsoft.com/office/2006/metadata/properties" xmlns:ns2="1799f447-5b1f-4cca-8248-ad44a73ddeed" xmlns:ns3="ded5c3b6-2f49-4205-9761-8a79573318c6" targetNamespace="http://schemas.microsoft.com/office/2006/metadata/properties" ma:root="true" ma:fieldsID="75c9e7f6e04fe87ba699c2494b23ddd4" ns2:_="" ns3:_="">
    <xsd:import namespace="1799f447-5b1f-4cca-8248-ad44a73ddeed"/>
    <xsd:import namespace="ded5c3b6-2f49-4205-9761-8a79573318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f447-5b1f-4cca-8248-ad44a73dd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ea7e4b4-080f-4af5-898c-d5b6bd791e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d5c3b6-2f49-4205-9761-8a79573318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f668d4-f02b-454a-91fb-56655f17b3f6}" ma:internalName="TaxCatchAll" ma:showField="CatchAllData" ma:web="ded5c3b6-2f49-4205-9761-8a79573318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3B6EA-1AB3-4180-A7D8-875BE4E065D0}">
  <ds:schemaRefs>
    <ds:schemaRef ds:uri="http://schemas.microsoft.com/office/2006/metadata/properties"/>
    <ds:schemaRef ds:uri="http://schemas.microsoft.com/office/infopath/2007/PartnerControls"/>
    <ds:schemaRef ds:uri="1799f447-5b1f-4cca-8248-ad44a73ddeed"/>
    <ds:schemaRef ds:uri="ded5c3b6-2f49-4205-9761-8a79573318c6"/>
  </ds:schemaRefs>
</ds:datastoreItem>
</file>

<file path=customXml/itemProps2.xml><?xml version="1.0" encoding="utf-8"?>
<ds:datastoreItem xmlns:ds="http://schemas.openxmlformats.org/officeDocument/2006/customXml" ds:itemID="{461B520F-AA86-40FA-A441-3D9436336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f447-5b1f-4cca-8248-ad44a73ddeed"/>
    <ds:schemaRef ds:uri="ded5c3b6-2f49-4205-9761-8a7957331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29F1C-E14D-4044-B778-F837C33A799D}">
  <ds:schemaRefs>
    <ds:schemaRef ds:uri="http://schemas.microsoft.com/sharepoint/v3/contenttype/forms"/>
  </ds:schemaRefs>
</ds:datastoreItem>
</file>

<file path=docMetadata/LabelInfo.xml><?xml version="1.0" encoding="utf-8"?>
<clbl:labelList xmlns:clbl="http://schemas.microsoft.com/office/2020/mipLabelMetadata">
  <clbl:label id="{24e38255-2c42-4538-999c-5fd53e8456d2}" enabled="0" method="" siteId="{24e38255-2c42-4538-999c-5fd53e8456d2}" removed="1"/>
</clbl:labelList>
</file>

<file path=docProps/app.xml><?xml version="1.0" encoding="utf-8"?>
<Properties xmlns="http://schemas.openxmlformats.org/officeDocument/2006/extended-properties" xmlns:vt="http://schemas.openxmlformats.org/officeDocument/2006/docPropsVTypes">
  <Template>Normal.dotm</Template>
  <TotalTime>44</TotalTime>
  <Pages>3</Pages>
  <Words>1067</Words>
  <Characters>6239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SEPEUE</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CLaguna</dc:creator>
  <cp:keywords/>
  <dc:description/>
  <cp:lastModifiedBy>MANUEL GIMENEZ CEREZO</cp:lastModifiedBy>
  <cp:revision>14</cp:revision>
  <cp:lastPrinted>2026-01-27T06:56:00Z</cp:lastPrinted>
  <dcterms:created xsi:type="dcterms:W3CDTF">2026-07-10T08:13:00Z</dcterms:created>
  <dcterms:modified xsi:type="dcterms:W3CDTF">2026-07-10T09:57:00Z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0x010100DF67835D2D18A6478FC282C9B1C96F71</vt:lpwstr>
  </property>
  <property fmtid="{D5CDD505-2E9C-101B-9397-08002B2CF9AE}" pid="3" name="MediaServiceImageTags">
    <vt:lpwstr/>
  </property>
</Properties>
</file>