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68EC4" w14:textId="77777777" w:rsidR="003F4753" w:rsidRPr="00C82AED" w:rsidRDefault="003F4753" w:rsidP="002B6F89">
      <w:pPr>
        <w:pStyle w:val="Textonotapie"/>
        <w:tabs>
          <w:tab w:val="left" w:pos="1021"/>
          <w:tab w:val="left" w:pos="8080"/>
        </w:tabs>
        <w:ind w:left="567"/>
        <w:rPr>
          <w:rFonts w:asciiTheme="minorHAnsi" w:hAnsiTheme="minorHAnsi" w:cstheme="minorHAnsi"/>
          <w:szCs w:val="22"/>
        </w:rPr>
      </w:pPr>
    </w:p>
    <w:p w14:paraId="68368EC5" w14:textId="77777777" w:rsidR="003F4753" w:rsidRPr="00C82AED" w:rsidRDefault="003F4753" w:rsidP="002B6F89">
      <w:pPr>
        <w:rPr>
          <w:rFonts w:asciiTheme="minorHAnsi" w:hAnsiTheme="minorHAnsi" w:cstheme="minorHAnsi"/>
          <w:szCs w:val="22"/>
          <w:u w:val="single"/>
        </w:rPr>
        <w:sectPr w:rsidR="003F4753" w:rsidRPr="00C82AED" w:rsidSect="000A6DF7">
          <w:headerReference w:type="even" r:id="rId8"/>
          <w:headerReference w:type="default" r:id="rId9"/>
          <w:footerReference w:type="even" r:id="rId10"/>
          <w:footerReference w:type="default" r:id="rId11"/>
          <w:footerReference w:type="first" r:id="rId12"/>
          <w:type w:val="continuous"/>
          <w:pgSz w:w="11906" w:h="16838" w:code="9"/>
          <w:pgMar w:top="2523" w:right="567" w:bottom="255" w:left="794" w:header="573" w:footer="0" w:gutter="0"/>
          <w:cols w:space="720" w:equalWidth="0">
            <w:col w:w="9411"/>
          </w:cols>
          <w:formProt w:val="0"/>
          <w:titlePg/>
        </w:sectPr>
      </w:pPr>
    </w:p>
    <w:p w14:paraId="382F8AF3" w14:textId="77F5F977" w:rsidR="00503B3B" w:rsidRPr="00657851" w:rsidRDefault="00503B3B" w:rsidP="0005517C">
      <w:pPr>
        <w:pStyle w:val="Ttulo"/>
        <w:spacing w:after="0" w:line="276" w:lineRule="auto"/>
        <w:jc w:val="center"/>
        <w:rPr>
          <w:rFonts w:asciiTheme="minorHAnsi" w:hAnsiTheme="minorHAnsi" w:cstheme="minorHAnsi"/>
          <w:sz w:val="22"/>
          <w:szCs w:val="22"/>
        </w:rPr>
      </w:pPr>
      <w:r w:rsidRPr="00657851">
        <w:rPr>
          <w:rFonts w:asciiTheme="minorHAnsi" w:hAnsiTheme="minorHAnsi" w:cstheme="minorHAnsi"/>
          <w:sz w:val="22"/>
          <w:szCs w:val="22"/>
        </w:rPr>
        <w:t xml:space="preserve">Proyecto Europeo de </w:t>
      </w:r>
      <w:r w:rsidR="0069235D" w:rsidRPr="00657851">
        <w:rPr>
          <w:rFonts w:asciiTheme="minorHAnsi" w:hAnsiTheme="minorHAnsi" w:cstheme="minorHAnsi"/>
          <w:sz w:val="22"/>
          <w:szCs w:val="22"/>
        </w:rPr>
        <w:t>Tecnologías avanzadas de semiconductores</w:t>
      </w:r>
      <w:r w:rsidRPr="00657851">
        <w:rPr>
          <w:rFonts w:asciiTheme="minorHAnsi" w:hAnsiTheme="minorHAnsi" w:cstheme="minorHAnsi"/>
          <w:sz w:val="22"/>
          <w:szCs w:val="22"/>
        </w:rPr>
        <w:t xml:space="preserve">, bajo el mecanismo “Proyectos Importantes de Interés Común Europeo” (IPCEI </w:t>
      </w:r>
      <w:r w:rsidR="002170F6" w:rsidRPr="00657851">
        <w:rPr>
          <w:rFonts w:asciiTheme="minorHAnsi" w:hAnsiTheme="minorHAnsi" w:cstheme="minorHAnsi"/>
          <w:sz w:val="22"/>
          <w:szCs w:val="22"/>
        </w:rPr>
        <w:t>AST</w:t>
      </w:r>
      <w:r w:rsidRPr="00657851">
        <w:rPr>
          <w:rFonts w:asciiTheme="minorHAnsi" w:hAnsiTheme="minorHAnsi" w:cstheme="minorHAnsi"/>
          <w:sz w:val="22"/>
          <w:szCs w:val="22"/>
        </w:rPr>
        <w:t>)</w:t>
      </w:r>
    </w:p>
    <w:p w14:paraId="7519C30A" w14:textId="77777777" w:rsidR="00503B3B" w:rsidRPr="00657851" w:rsidRDefault="00503B3B" w:rsidP="0005517C">
      <w:pPr>
        <w:pStyle w:val="Ttulo"/>
        <w:spacing w:after="0" w:line="276" w:lineRule="auto"/>
        <w:jc w:val="center"/>
        <w:rPr>
          <w:rFonts w:asciiTheme="minorHAnsi" w:hAnsiTheme="minorHAnsi" w:cstheme="minorHAnsi"/>
          <w:sz w:val="22"/>
          <w:szCs w:val="22"/>
        </w:rPr>
      </w:pPr>
    </w:p>
    <w:p w14:paraId="79DC36BC" w14:textId="0B6A8E80" w:rsidR="00503B3B" w:rsidRPr="00657851" w:rsidRDefault="00503B3B" w:rsidP="0005517C">
      <w:pPr>
        <w:pStyle w:val="Ttulo"/>
        <w:spacing w:after="0" w:line="276" w:lineRule="auto"/>
        <w:jc w:val="center"/>
        <w:rPr>
          <w:rFonts w:asciiTheme="minorHAnsi" w:hAnsiTheme="minorHAnsi" w:cstheme="minorHAnsi"/>
          <w:szCs w:val="28"/>
        </w:rPr>
      </w:pPr>
      <w:r w:rsidRPr="00657851">
        <w:rPr>
          <w:rFonts w:asciiTheme="minorHAnsi" w:hAnsiTheme="minorHAnsi" w:cstheme="minorHAnsi"/>
          <w:szCs w:val="28"/>
        </w:rPr>
        <w:t xml:space="preserve">ANUNCIO </w:t>
      </w:r>
      <w:r w:rsidR="00853AA9" w:rsidRPr="00657851">
        <w:rPr>
          <w:rFonts w:asciiTheme="minorHAnsi" w:hAnsiTheme="minorHAnsi" w:cstheme="minorHAnsi"/>
          <w:szCs w:val="28"/>
        </w:rPr>
        <w:t xml:space="preserve">PÚBLICO </w:t>
      </w:r>
      <w:r w:rsidRPr="00657851">
        <w:rPr>
          <w:rFonts w:asciiTheme="minorHAnsi" w:hAnsiTheme="minorHAnsi" w:cstheme="minorHAnsi"/>
          <w:szCs w:val="28"/>
        </w:rPr>
        <w:t>PARA LA</w:t>
      </w:r>
      <w:r w:rsidR="00853AA9" w:rsidRPr="00657851">
        <w:rPr>
          <w:rFonts w:asciiTheme="minorHAnsi" w:hAnsiTheme="minorHAnsi" w:cstheme="minorHAnsi"/>
          <w:szCs w:val="28"/>
        </w:rPr>
        <w:t xml:space="preserve"> PRESENTACIÓN DE MANIFESTACIONES DE INTERÉS RELATIVAS A LA PARTICIPACIÓN EN EL PROYE</w:t>
      </w:r>
      <w:r w:rsidR="001A6298" w:rsidRPr="00657851">
        <w:rPr>
          <w:rFonts w:asciiTheme="minorHAnsi" w:hAnsiTheme="minorHAnsi" w:cstheme="minorHAnsi"/>
          <w:szCs w:val="28"/>
        </w:rPr>
        <w:t>C</w:t>
      </w:r>
      <w:r w:rsidR="00853AA9" w:rsidRPr="00657851">
        <w:rPr>
          <w:rFonts w:asciiTheme="minorHAnsi" w:hAnsiTheme="minorHAnsi" w:cstheme="minorHAnsi"/>
          <w:szCs w:val="28"/>
        </w:rPr>
        <w:t xml:space="preserve">TO IMPORTANTE DE INTERÉS COMÚN EUROPEO DE </w:t>
      </w:r>
      <w:r w:rsidR="00E051A2" w:rsidRPr="00657851">
        <w:rPr>
          <w:rFonts w:asciiTheme="minorHAnsi" w:hAnsiTheme="minorHAnsi" w:cstheme="minorHAnsi"/>
          <w:szCs w:val="28"/>
        </w:rPr>
        <w:t>TECNOLOGÍAS AVANZADAS DE SEMICONDUCTORES</w:t>
      </w:r>
    </w:p>
    <w:p w14:paraId="77B078CC" w14:textId="5DA6FF12" w:rsidR="00853AA9" w:rsidRPr="00657851" w:rsidRDefault="00853AA9" w:rsidP="0005517C">
      <w:pPr>
        <w:pStyle w:val="Ttulo"/>
        <w:spacing w:after="0" w:line="276" w:lineRule="auto"/>
        <w:jc w:val="center"/>
        <w:rPr>
          <w:rFonts w:asciiTheme="minorHAnsi" w:hAnsiTheme="minorHAnsi" w:cstheme="minorHAnsi"/>
          <w:szCs w:val="28"/>
        </w:rPr>
      </w:pPr>
      <w:r w:rsidRPr="00657851">
        <w:rPr>
          <w:rFonts w:asciiTheme="minorHAnsi" w:hAnsiTheme="minorHAnsi" w:cstheme="minorHAnsi"/>
          <w:szCs w:val="28"/>
        </w:rPr>
        <w:t xml:space="preserve">(IPCEI </w:t>
      </w:r>
      <w:r w:rsidR="00E051A2" w:rsidRPr="00657851">
        <w:rPr>
          <w:rFonts w:asciiTheme="minorHAnsi" w:hAnsiTheme="minorHAnsi" w:cstheme="minorHAnsi"/>
          <w:szCs w:val="28"/>
        </w:rPr>
        <w:t>AST</w:t>
      </w:r>
      <w:r w:rsidRPr="00657851">
        <w:rPr>
          <w:rFonts w:asciiTheme="minorHAnsi" w:hAnsiTheme="minorHAnsi" w:cstheme="minorHAnsi"/>
          <w:szCs w:val="28"/>
        </w:rPr>
        <w:t>)</w:t>
      </w:r>
    </w:p>
    <w:p w14:paraId="1EFF5EA5" w14:textId="77777777" w:rsidR="00503B3B" w:rsidRPr="00657851" w:rsidRDefault="00503B3B" w:rsidP="002B6F89">
      <w:pPr>
        <w:pStyle w:val="Ttulo"/>
        <w:spacing w:after="0" w:line="276" w:lineRule="auto"/>
        <w:jc w:val="both"/>
        <w:rPr>
          <w:rFonts w:asciiTheme="minorHAnsi" w:hAnsiTheme="minorHAnsi" w:cstheme="minorHAnsi"/>
          <w:sz w:val="22"/>
          <w:szCs w:val="22"/>
        </w:rPr>
      </w:pPr>
    </w:p>
    <w:p w14:paraId="662DC668" w14:textId="4DC87FDA" w:rsidR="003F2667" w:rsidRPr="00657851" w:rsidRDefault="003F2667" w:rsidP="002F072C">
      <w:pPr>
        <w:pStyle w:val="Ttulo1"/>
        <w:numPr>
          <w:ilvl w:val="0"/>
          <w:numId w:val="1"/>
        </w:numPr>
        <w:jc w:val="both"/>
        <w:rPr>
          <w:rFonts w:asciiTheme="minorHAnsi" w:hAnsiTheme="minorHAnsi" w:cstheme="minorHAnsi"/>
          <w:sz w:val="22"/>
          <w:szCs w:val="22"/>
        </w:rPr>
      </w:pPr>
      <w:r w:rsidRPr="00657851">
        <w:rPr>
          <w:rFonts w:asciiTheme="minorHAnsi" w:hAnsiTheme="minorHAnsi" w:cstheme="minorHAnsi"/>
          <w:sz w:val="22"/>
          <w:szCs w:val="22"/>
        </w:rPr>
        <w:t>Contexto</w:t>
      </w:r>
    </w:p>
    <w:p w14:paraId="2851174C" w14:textId="06EAEAB8" w:rsidR="0005517C" w:rsidRPr="00657851" w:rsidRDefault="0069235D" w:rsidP="0005517C">
      <w:pPr>
        <w:pStyle w:val="Ttulo"/>
        <w:spacing w:line="276" w:lineRule="auto"/>
        <w:jc w:val="both"/>
        <w:rPr>
          <w:rFonts w:asciiTheme="minorHAnsi" w:hAnsiTheme="minorHAnsi" w:cstheme="minorHAnsi"/>
          <w:b w:val="0"/>
          <w:bCs/>
          <w:sz w:val="20"/>
          <w:szCs w:val="14"/>
        </w:rPr>
      </w:pPr>
      <w:r w:rsidRPr="00657851">
        <w:rPr>
          <w:rFonts w:asciiTheme="minorHAnsi" w:hAnsiTheme="minorHAnsi" w:cstheme="minorHAnsi"/>
          <w:b w:val="0"/>
          <w:bCs/>
          <w:sz w:val="22"/>
          <w:szCs w:val="22"/>
        </w:rPr>
        <w:t xml:space="preserve">Los semiconductores son la columna vertebral de nuestra economía futura. Están presentes en prácticamente todos los dispositivos electrónicos y son esenciales para una amplia gama de aplicaciones y mercados finales. Se espera que la importancia de los semiconductores no deje de aumentar durante la próxima década, impulsada por </w:t>
      </w:r>
      <w:proofErr w:type="spellStart"/>
      <w:r w:rsidRPr="00657851">
        <w:rPr>
          <w:rFonts w:asciiTheme="minorHAnsi" w:hAnsiTheme="minorHAnsi" w:cstheme="minorHAnsi"/>
          <w:b w:val="0"/>
          <w:bCs/>
          <w:sz w:val="22"/>
          <w:szCs w:val="22"/>
        </w:rPr>
        <w:t>megatendencias</w:t>
      </w:r>
      <w:proofErr w:type="spellEnd"/>
      <w:r w:rsidRPr="00657851">
        <w:rPr>
          <w:rFonts w:asciiTheme="minorHAnsi" w:hAnsiTheme="minorHAnsi" w:cstheme="minorHAnsi"/>
          <w:b w:val="0"/>
          <w:bCs/>
          <w:sz w:val="22"/>
          <w:szCs w:val="22"/>
        </w:rPr>
        <w:t xml:space="preserve"> como la Inteligencia Artificial, la Automatización, la Seguridad y la Sostenibilidad</w:t>
      </w:r>
      <w:r w:rsidR="00E051A2" w:rsidRPr="00657851">
        <w:rPr>
          <w:rFonts w:asciiTheme="minorHAnsi" w:hAnsiTheme="minorHAnsi" w:cstheme="minorHAnsi"/>
          <w:b w:val="0"/>
          <w:bCs/>
          <w:sz w:val="22"/>
          <w:szCs w:val="22"/>
        </w:rPr>
        <w:t>.</w:t>
      </w:r>
    </w:p>
    <w:p w14:paraId="4C3900CA" w14:textId="7B4E10BA" w:rsidR="00EF1284" w:rsidRPr="00657851" w:rsidRDefault="0069235D" w:rsidP="005333BB">
      <w:pPr>
        <w:pStyle w:val="Default"/>
        <w:spacing w:after="240" w:line="276" w:lineRule="auto"/>
        <w:jc w:val="both"/>
        <w:rPr>
          <w:rFonts w:asciiTheme="minorHAnsi" w:hAnsiTheme="minorHAnsi" w:cstheme="minorHAnsi"/>
          <w:sz w:val="22"/>
          <w:szCs w:val="22"/>
        </w:rPr>
      </w:pPr>
      <w:r w:rsidRPr="00657851">
        <w:rPr>
          <w:rFonts w:asciiTheme="minorHAnsi" w:hAnsiTheme="minorHAnsi" w:cstheme="minorHAnsi"/>
          <w:sz w:val="22"/>
          <w:szCs w:val="22"/>
        </w:rPr>
        <w:t>La posición de Europa en la industria global de los semiconductores ha estado bajo presión durante los últimos 20 años. Esta presión no ha hecho más que aumentar en los últimos años, a medida que los semiconductores se han convertido en un foco central de la competencia geopolítica. Los países de todo el mundo están incrementando rápidamente sus inversiones en I+D y en capacidad de fabricación, en su esfuerzo por mejorar sus capacidades tecnológicas</w:t>
      </w:r>
      <w:r w:rsidR="004F2FD1" w:rsidRPr="00657851">
        <w:rPr>
          <w:rFonts w:asciiTheme="minorHAnsi" w:hAnsiTheme="minorHAnsi" w:cstheme="minorHAnsi"/>
          <w:sz w:val="22"/>
          <w:szCs w:val="22"/>
        </w:rPr>
        <w:t>.</w:t>
      </w:r>
    </w:p>
    <w:p w14:paraId="7CE4AD99" w14:textId="3971D56F" w:rsidR="00980EBF" w:rsidRPr="00657851" w:rsidRDefault="00980EBF" w:rsidP="005333BB">
      <w:pPr>
        <w:pStyle w:val="Default"/>
        <w:spacing w:after="240" w:line="276" w:lineRule="auto"/>
        <w:jc w:val="both"/>
        <w:rPr>
          <w:rFonts w:asciiTheme="minorHAnsi" w:hAnsiTheme="minorHAnsi" w:cstheme="minorHAnsi"/>
          <w:sz w:val="22"/>
          <w:szCs w:val="22"/>
        </w:rPr>
      </w:pPr>
      <w:r w:rsidRPr="00657851">
        <w:rPr>
          <w:rFonts w:asciiTheme="minorHAnsi" w:hAnsiTheme="minorHAnsi" w:cstheme="minorHAnsi"/>
          <w:sz w:val="22"/>
          <w:szCs w:val="22"/>
        </w:rPr>
        <w:t xml:space="preserve">El desafío al que se enfrenta Europa en este ámbito es triple: (1) aumentar la resiliencia del suministro para satisfacer tanto la demanda actual como la futura de semiconductores en Europa, anticipando al mismo tiempo los cambios en la demanda impulsados por las mencionadas </w:t>
      </w:r>
      <w:proofErr w:type="spellStart"/>
      <w:r w:rsidRPr="00657851">
        <w:rPr>
          <w:rFonts w:asciiTheme="minorHAnsi" w:hAnsiTheme="minorHAnsi" w:cstheme="minorHAnsi"/>
          <w:sz w:val="22"/>
          <w:szCs w:val="22"/>
        </w:rPr>
        <w:t>megatendencias</w:t>
      </w:r>
      <w:proofErr w:type="spellEnd"/>
      <w:r w:rsidRPr="00657851">
        <w:rPr>
          <w:rFonts w:asciiTheme="minorHAnsi" w:hAnsiTheme="minorHAnsi" w:cstheme="minorHAnsi"/>
          <w:sz w:val="22"/>
          <w:szCs w:val="22"/>
        </w:rPr>
        <w:t>; (2) reforzar la seguridad de las soluciones de semiconductores teniendo en cuenta las nuevas realidades geopolíticas; y (3) alcanzar y mantener el liderazgo tecnológico en tecnologías estratégicas habilitadas por semiconductores y en sus cadenas de suministro, aprovechando las excelentes capacidades europeas en I+D+i.</w:t>
      </w:r>
    </w:p>
    <w:p w14:paraId="74F1AAB1" w14:textId="43762DB7" w:rsidR="00EF1284" w:rsidRPr="00657851" w:rsidRDefault="00E051A2" w:rsidP="005333BB">
      <w:pPr>
        <w:pStyle w:val="Default"/>
        <w:spacing w:after="240" w:line="276" w:lineRule="auto"/>
        <w:jc w:val="both"/>
        <w:rPr>
          <w:rFonts w:asciiTheme="minorHAnsi" w:hAnsiTheme="minorHAnsi" w:cstheme="minorHAnsi"/>
          <w:sz w:val="22"/>
          <w:szCs w:val="22"/>
        </w:rPr>
      </w:pPr>
      <w:r w:rsidRPr="00657851">
        <w:rPr>
          <w:rFonts w:asciiTheme="minorHAnsi" w:hAnsiTheme="minorHAnsi" w:cstheme="minorHAnsi"/>
          <w:sz w:val="22"/>
          <w:szCs w:val="22"/>
        </w:rPr>
        <w:t xml:space="preserve">En respuesta, a través de la </w:t>
      </w:r>
      <w:r w:rsidR="0093627A">
        <w:rPr>
          <w:rFonts w:asciiTheme="minorHAnsi" w:hAnsiTheme="minorHAnsi" w:cstheme="minorHAnsi"/>
          <w:sz w:val="22"/>
          <w:szCs w:val="22"/>
        </w:rPr>
        <w:t>“</w:t>
      </w:r>
      <w:proofErr w:type="spellStart"/>
      <w:r w:rsidRPr="00657851">
        <w:rPr>
          <w:rFonts w:asciiTheme="minorHAnsi" w:hAnsiTheme="minorHAnsi" w:cstheme="minorHAnsi"/>
          <w:sz w:val="22"/>
          <w:szCs w:val="22"/>
        </w:rPr>
        <w:t>European</w:t>
      </w:r>
      <w:proofErr w:type="spellEnd"/>
      <w:r w:rsidRPr="00657851">
        <w:rPr>
          <w:rFonts w:asciiTheme="minorHAnsi" w:hAnsiTheme="minorHAnsi" w:cstheme="minorHAnsi"/>
          <w:sz w:val="22"/>
          <w:szCs w:val="22"/>
        </w:rPr>
        <w:t xml:space="preserve"> Chips </w:t>
      </w:r>
      <w:proofErr w:type="spellStart"/>
      <w:r w:rsidRPr="00657851">
        <w:rPr>
          <w:rFonts w:asciiTheme="minorHAnsi" w:hAnsiTheme="minorHAnsi" w:cstheme="minorHAnsi"/>
          <w:sz w:val="22"/>
          <w:szCs w:val="22"/>
        </w:rPr>
        <w:t>Act</w:t>
      </w:r>
      <w:proofErr w:type="spellEnd"/>
      <w:r w:rsidR="0093627A">
        <w:rPr>
          <w:rFonts w:asciiTheme="minorHAnsi" w:hAnsiTheme="minorHAnsi" w:cstheme="minorHAnsi"/>
          <w:sz w:val="22"/>
          <w:szCs w:val="22"/>
        </w:rPr>
        <w:t>”</w:t>
      </w:r>
      <w:r w:rsidRPr="00657851">
        <w:rPr>
          <w:rFonts w:asciiTheme="minorHAnsi" w:hAnsiTheme="minorHAnsi" w:cstheme="minorHAnsi"/>
          <w:sz w:val="22"/>
          <w:szCs w:val="22"/>
        </w:rPr>
        <w:t>, Europa se ha fijado el ambicioso objetivo de fortalecer su competitividad y resiliencia en las tecnologías y aplicaciones de semiconductores. En particular, el Pilar I de dicha iniciativa tiene como finalidad apoyar el desarrollo de capacidades tecnológicas y la innovación en la Unión Europea, reduciendo la brecha existente entre sus avanzadas capacidades de investigación e innovación y su explotación industrial.</w:t>
      </w:r>
    </w:p>
    <w:p w14:paraId="2F809848" w14:textId="735ED0FA" w:rsidR="009D3C25" w:rsidRPr="00657851" w:rsidRDefault="009D3C25" w:rsidP="002F072C">
      <w:pPr>
        <w:pStyle w:val="Ttulo1"/>
        <w:numPr>
          <w:ilvl w:val="0"/>
          <w:numId w:val="1"/>
        </w:numPr>
        <w:jc w:val="both"/>
        <w:rPr>
          <w:rFonts w:asciiTheme="minorHAnsi" w:hAnsiTheme="minorHAnsi" w:cstheme="minorHAnsi"/>
          <w:sz w:val="22"/>
          <w:szCs w:val="22"/>
        </w:rPr>
      </w:pPr>
      <w:r w:rsidRPr="00657851">
        <w:rPr>
          <w:rFonts w:asciiTheme="minorHAnsi" w:hAnsiTheme="minorHAnsi" w:cstheme="minorHAnsi"/>
          <w:sz w:val="22"/>
          <w:szCs w:val="22"/>
        </w:rPr>
        <w:lastRenderedPageBreak/>
        <w:t>Los Proyectos Importantes de Interés Común Europeo (IPCEI)</w:t>
      </w:r>
    </w:p>
    <w:p w14:paraId="6C4BB9E1" w14:textId="52F4BA1A" w:rsidR="009D3C25" w:rsidRPr="00657851" w:rsidRDefault="009D3C25" w:rsidP="00D02D54">
      <w:pPr>
        <w:spacing w:line="276" w:lineRule="auto"/>
        <w:rPr>
          <w:rFonts w:asciiTheme="minorHAnsi" w:hAnsiTheme="minorHAnsi" w:cstheme="minorHAnsi"/>
        </w:rPr>
      </w:pPr>
      <w:r w:rsidRPr="00657851">
        <w:rPr>
          <w:rFonts w:asciiTheme="minorHAnsi" w:hAnsiTheme="minorHAnsi" w:cstheme="minorHAnsi"/>
        </w:rPr>
        <w:t xml:space="preserve">Los Proyectos Importantes de Interés Común Europeo (IPCEI) constituyen un instrumento estratégico destinado a fomentar la cooperación transnacional en ámbitos de relevancia económica y tecnológica para la Unión Europea. Su objetivo es fortalecer la innovación y la competitividad de la economía europea mediante la coordinación de esfuerzos entre los Estados miembros y las empresas participantes. </w:t>
      </w:r>
    </w:p>
    <w:p w14:paraId="04D66E7A" w14:textId="77777777" w:rsidR="009D3C25" w:rsidRPr="00657851" w:rsidRDefault="009D3C25" w:rsidP="00D02D54">
      <w:pPr>
        <w:spacing w:line="276" w:lineRule="auto"/>
        <w:rPr>
          <w:rFonts w:asciiTheme="minorHAnsi" w:hAnsiTheme="minorHAnsi" w:cstheme="minorHAnsi"/>
        </w:rPr>
      </w:pPr>
      <w:r w:rsidRPr="00657851">
        <w:rPr>
          <w:rFonts w:asciiTheme="minorHAnsi" w:hAnsiTheme="minorHAnsi" w:cstheme="minorHAnsi"/>
        </w:rPr>
        <w:t xml:space="preserve">Los IPCEI respaldan iniciativas de gran escala y relevancia estratégica que incorporan un alto grado de innovación, abarcan múltiples sectores y Estados miembros, y contribuyen a abordar desafíos científicos, sociales y económicos de importancia para toda la Unión Europea. </w:t>
      </w:r>
    </w:p>
    <w:p w14:paraId="3026E958" w14:textId="1194643F" w:rsidR="009D3C25" w:rsidRPr="00657851" w:rsidRDefault="009D3C25" w:rsidP="00D02D54">
      <w:pPr>
        <w:spacing w:line="276" w:lineRule="auto"/>
        <w:rPr>
          <w:rFonts w:asciiTheme="minorHAnsi" w:hAnsiTheme="minorHAnsi" w:cstheme="minorHAnsi"/>
        </w:rPr>
      </w:pPr>
      <w:r w:rsidRPr="00657851">
        <w:rPr>
          <w:rFonts w:asciiTheme="minorHAnsi" w:hAnsiTheme="minorHAnsi" w:cstheme="minorHAnsi"/>
        </w:rPr>
        <w:t xml:space="preserve">Estas iniciativas deben enfrentarse a riesgos tecnológicos y/o financieros significativos que no podrían ser asumidos en el marco de otros instrumentos de ayuda convencionales, lo que justifica la necesidad de esfuerzos conjuntos y coordinados, así como de inversiones públicas y privadas por parte de varios Estados miembros. Son iniciativas diseñadas para que el sector público y el privado colaboren conjuntamente en proyectos a gran escala que proporcionen beneficios significativos para la UE y sus ciudadanos. </w:t>
      </w:r>
    </w:p>
    <w:p w14:paraId="5FD2B181" w14:textId="08C77DB4" w:rsidR="009D3C25" w:rsidRPr="00657851" w:rsidRDefault="009D3C25" w:rsidP="00D02D54">
      <w:pPr>
        <w:spacing w:line="276" w:lineRule="auto"/>
        <w:rPr>
          <w:rFonts w:asciiTheme="minorHAnsi" w:hAnsiTheme="minorHAnsi" w:cstheme="minorHAnsi"/>
        </w:rPr>
      </w:pPr>
      <w:r w:rsidRPr="00657851">
        <w:rPr>
          <w:rFonts w:asciiTheme="minorHAnsi" w:hAnsiTheme="minorHAnsi" w:cstheme="minorHAnsi"/>
        </w:rPr>
        <w:t>La Comunicación de la Comisión Europea 2021/C 528/02, establece los</w:t>
      </w:r>
      <w:r w:rsidR="00CB53F2" w:rsidRPr="00657851">
        <w:rPr>
          <w:rFonts w:asciiTheme="minorHAnsi" w:hAnsiTheme="minorHAnsi" w:cstheme="minorHAnsi"/>
        </w:rPr>
        <w:t xml:space="preserve"> </w:t>
      </w:r>
      <w:r w:rsidRPr="00657851">
        <w:rPr>
          <w:rFonts w:asciiTheme="minorHAnsi" w:hAnsiTheme="minorHAnsi" w:cstheme="minorHAnsi"/>
        </w:rPr>
        <w:t xml:space="preserve">criterios </w:t>
      </w:r>
      <w:r w:rsidR="00CB53F2" w:rsidRPr="00657851">
        <w:rPr>
          <w:rFonts w:asciiTheme="minorHAnsi" w:hAnsiTheme="minorHAnsi" w:cstheme="minorHAnsi"/>
        </w:rPr>
        <w:t xml:space="preserve">para el análisis de la compatibilidad con el mercado interior de las ayudas para fomentar la realización de Proyectos Importantes de Interés Común Europeo (IPCEI). </w:t>
      </w:r>
      <w:r w:rsidRPr="00657851">
        <w:rPr>
          <w:rFonts w:asciiTheme="minorHAnsi" w:hAnsiTheme="minorHAnsi" w:cstheme="minorHAnsi"/>
        </w:rPr>
        <w:t xml:space="preserve">Esta comunicación constituye la referencia fundamental para garantizar que las actuaciones desarrolladas en el marco de un IPCEI se ajustan plenamente a las exigencias de la Comisión, establece los criterios de admisibilidad y compatibilidad aplicables, definiendo con precisión el concepto de </w:t>
      </w:r>
      <w:r w:rsidR="00CB53F2" w:rsidRPr="00657851">
        <w:rPr>
          <w:rFonts w:asciiTheme="minorHAnsi" w:hAnsiTheme="minorHAnsi" w:cstheme="minorHAnsi"/>
        </w:rPr>
        <w:t xml:space="preserve">Proyecto de Interés Común Europeo </w:t>
      </w:r>
      <w:r w:rsidRPr="00657851">
        <w:rPr>
          <w:rFonts w:asciiTheme="minorHAnsi" w:hAnsiTheme="minorHAnsi" w:cstheme="minorHAnsi"/>
        </w:rPr>
        <w:t xml:space="preserve">y los requisitos que deben acreditar los Estados miembros y las entidades promotoras para que las ayudas propuestas sean consideradas compatibles con el mercado interior. </w:t>
      </w:r>
    </w:p>
    <w:p w14:paraId="1B81F888" w14:textId="4A362CA6" w:rsidR="009D3C25" w:rsidRPr="00657851" w:rsidRDefault="009D3C25" w:rsidP="00D02D54">
      <w:pPr>
        <w:spacing w:line="276" w:lineRule="auto"/>
        <w:rPr>
          <w:rFonts w:asciiTheme="minorHAnsi" w:hAnsiTheme="minorHAnsi" w:cstheme="minorHAnsi"/>
        </w:rPr>
      </w:pPr>
      <w:r w:rsidRPr="00657851">
        <w:rPr>
          <w:rFonts w:asciiTheme="minorHAnsi" w:hAnsiTheme="minorHAnsi" w:cstheme="minorHAnsi"/>
        </w:rPr>
        <w:t xml:space="preserve">La participación en un IPCEI supone una gran oportunidad de posicionamiento dentro del ecosistema europeo en el marco de proyectos con un importante componente estratégico. El proceso de selección de una propuesta </w:t>
      </w:r>
      <w:r w:rsidR="00C82AED" w:rsidRPr="00657851">
        <w:rPr>
          <w:rFonts w:asciiTheme="minorHAnsi" w:hAnsiTheme="minorHAnsi" w:cstheme="minorHAnsi"/>
        </w:rPr>
        <w:t xml:space="preserve">individual </w:t>
      </w:r>
      <w:r w:rsidRPr="00657851">
        <w:rPr>
          <w:rFonts w:asciiTheme="minorHAnsi" w:hAnsiTheme="minorHAnsi" w:cstheme="minorHAnsi"/>
        </w:rPr>
        <w:t xml:space="preserve">para formar parte de un IPCEI se determina a través de un extenso y complejo procedimiento </w:t>
      </w:r>
      <w:r w:rsidR="00CB53F2" w:rsidRPr="00657851">
        <w:rPr>
          <w:rFonts w:asciiTheme="minorHAnsi" w:hAnsiTheme="minorHAnsi" w:cstheme="minorHAnsi"/>
        </w:rPr>
        <w:t xml:space="preserve">iniciado por parte de los Estados Miembros (EEMM) y </w:t>
      </w:r>
      <w:r w:rsidRPr="00657851">
        <w:rPr>
          <w:rFonts w:asciiTheme="minorHAnsi" w:hAnsiTheme="minorHAnsi" w:cstheme="minorHAnsi"/>
        </w:rPr>
        <w:t>coordinado por la Comisión Europea que se describe con mayor detalle a continuación</w:t>
      </w:r>
      <w:r w:rsidR="00CB53F2" w:rsidRPr="00657851">
        <w:rPr>
          <w:rFonts w:asciiTheme="minorHAnsi" w:hAnsiTheme="minorHAnsi" w:cstheme="minorHAnsi"/>
        </w:rPr>
        <w:t>.</w:t>
      </w:r>
    </w:p>
    <w:p w14:paraId="125F829E" w14:textId="44731D23" w:rsidR="00E6763F" w:rsidRPr="00657851" w:rsidRDefault="00E6763F" w:rsidP="002F072C">
      <w:pPr>
        <w:pStyle w:val="Ttulo1"/>
        <w:numPr>
          <w:ilvl w:val="0"/>
          <w:numId w:val="1"/>
        </w:numPr>
        <w:jc w:val="both"/>
        <w:rPr>
          <w:rFonts w:asciiTheme="minorHAnsi" w:hAnsiTheme="minorHAnsi" w:cstheme="minorHAnsi"/>
          <w:sz w:val="22"/>
          <w:szCs w:val="22"/>
        </w:rPr>
      </w:pPr>
      <w:r w:rsidRPr="00657851">
        <w:rPr>
          <w:rFonts w:asciiTheme="minorHAnsi" w:hAnsiTheme="minorHAnsi" w:cstheme="minorHAnsi"/>
          <w:sz w:val="22"/>
          <w:szCs w:val="22"/>
        </w:rPr>
        <w:t>IPCEI</w:t>
      </w:r>
      <w:r w:rsidR="001A23B5" w:rsidRPr="00657851">
        <w:rPr>
          <w:rFonts w:asciiTheme="minorHAnsi" w:hAnsiTheme="minorHAnsi" w:cstheme="minorHAnsi"/>
          <w:sz w:val="22"/>
          <w:szCs w:val="22"/>
        </w:rPr>
        <w:t xml:space="preserve"> de </w:t>
      </w:r>
      <w:r w:rsidR="001F0AE0" w:rsidRPr="00657851">
        <w:rPr>
          <w:rFonts w:asciiTheme="minorHAnsi" w:hAnsiTheme="minorHAnsi" w:cstheme="minorHAnsi"/>
          <w:sz w:val="22"/>
          <w:szCs w:val="22"/>
        </w:rPr>
        <w:t>Tecnologías avanzadas de semiconductores</w:t>
      </w:r>
      <w:r w:rsidR="006827D7" w:rsidRPr="00657851">
        <w:rPr>
          <w:rFonts w:asciiTheme="minorHAnsi" w:hAnsiTheme="minorHAnsi" w:cstheme="minorHAnsi"/>
          <w:sz w:val="22"/>
          <w:szCs w:val="22"/>
        </w:rPr>
        <w:t xml:space="preserve"> (IPCEI </w:t>
      </w:r>
      <w:r w:rsidR="001F0AE0" w:rsidRPr="00657851">
        <w:rPr>
          <w:rFonts w:asciiTheme="minorHAnsi" w:hAnsiTheme="minorHAnsi" w:cstheme="minorHAnsi"/>
          <w:sz w:val="22"/>
          <w:szCs w:val="22"/>
        </w:rPr>
        <w:t>AST</w:t>
      </w:r>
      <w:r w:rsidR="006827D7" w:rsidRPr="00657851">
        <w:rPr>
          <w:rFonts w:asciiTheme="minorHAnsi" w:hAnsiTheme="minorHAnsi" w:cstheme="minorHAnsi"/>
          <w:sz w:val="22"/>
          <w:szCs w:val="22"/>
        </w:rPr>
        <w:t>)</w:t>
      </w:r>
    </w:p>
    <w:p w14:paraId="4F71FBAF" w14:textId="05A83F49" w:rsidR="00CB53F2" w:rsidRPr="00657851" w:rsidRDefault="00812234" w:rsidP="002B6F89">
      <w:pPr>
        <w:pStyle w:val="Default"/>
        <w:spacing w:after="240" w:line="276" w:lineRule="auto"/>
        <w:jc w:val="both"/>
        <w:rPr>
          <w:rFonts w:asciiTheme="minorHAnsi" w:hAnsiTheme="minorHAnsi" w:cstheme="minorHAnsi"/>
          <w:b/>
          <w:bCs/>
          <w:sz w:val="22"/>
          <w:szCs w:val="22"/>
        </w:rPr>
      </w:pPr>
      <w:r w:rsidRPr="00657851">
        <w:rPr>
          <w:rFonts w:asciiTheme="minorHAnsi" w:hAnsiTheme="minorHAnsi" w:cstheme="minorHAnsi"/>
          <w:sz w:val="22"/>
          <w:szCs w:val="22"/>
        </w:rPr>
        <w:t>E</w:t>
      </w:r>
      <w:r w:rsidR="007506A8" w:rsidRPr="00657851">
        <w:rPr>
          <w:rFonts w:asciiTheme="minorHAnsi" w:hAnsiTheme="minorHAnsi" w:cstheme="minorHAnsi"/>
          <w:sz w:val="22"/>
          <w:szCs w:val="22"/>
        </w:rPr>
        <w:t xml:space="preserve">n noviembre de 2024, quince Estados </w:t>
      </w:r>
      <w:r w:rsidR="00CB53F2" w:rsidRPr="00657851">
        <w:rPr>
          <w:rFonts w:asciiTheme="minorHAnsi" w:hAnsiTheme="minorHAnsi" w:cstheme="minorHAnsi"/>
          <w:sz w:val="22"/>
          <w:szCs w:val="22"/>
        </w:rPr>
        <w:t>M</w:t>
      </w:r>
      <w:r w:rsidR="007506A8" w:rsidRPr="00657851">
        <w:rPr>
          <w:rFonts w:asciiTheme="minorHAnsi" w:hAnsiTheme="minorHAnsi" w:cstheme="minorHAnsi"/>
          <w:sz w:val="22"/>
          <w:szCs w:val="22"/>
        </w:rPr>
        <w:t>iembros</w:t>
      </w:r>
      <w:r w:rsidR="00CB53F2" w:rsidRPr="00657851">
        <w:rPr>
          <w:rStyle w:val="Refdenotaalpie"/>
          <w:rFonts w:asciiTheme="minorHAnsi" w:hAnsiTheme="minorHAnsi" w:cstheme="minorHAnsi"/>
          <w:sz w:val="22"/>
          <w:szCs w:val="22"/>
        </w:rPr>
        <w:footnoteReference w:id="2"/>
      </w:r>
      <w:r w:rsidR="007506A8" w:rsidRPr="00657851">
        <w:rPr>
          <w:rFonts w:asciiTheme="minorHAnsi" w:hAnsiTheme="minorHAnsi" w:cstheme="minorHAnsi"/>
          <w:sz w:val="22"/>
          <w:szCs w:val="22"/>
        </w:rPr>
        <w:t xml:space="preserve"> respaldaron la propuesta del </w:t>
      </w:r>
      <w:r w:rsidR="007506A8" w:rsidRPr="00657851">
        <w:rPr>
          <w:rFonts w:asciiTheme="minorHAnsi" w:hAnsiTheme="minorHAnsi" w:cstheme="minorHAnsi"/>
          <w:b/>
          <w:bCs/>
          <w:sz w:val="22"/>
          <w:szCs w:val="22"/>
        </w:rPr>
        <w:t xml:space="preserve">Proyecto Importante de Interés Común Europeo en </w:t>
      </w:r>
      <w:r w:rsidR="00153544" w:rsidRPr="00657851">
        <w:rPr>
          <w:rFonts w:asciiTheme="minorHAnsi" w:hAnsiTheme="minorHAnsi" w:cstheme="minorHAnsi"/>
          <w:b/>
          <w:bCs/>
          <w:sz w:val="22"/>
          <w:szCs w:val="22"/>
        </w:rPr>
        <w:t>Tecnologías avanzadas de semiconductores</w:t>
      </w:r>
      <w:r w:rsidR="007506A8" w:rsidRPr="00657851">
        <w:rPr>
          <w:rFonts w:asciiTheme="minorHAnsi" w:hAnsiTheme="minorHAnsi" w:cstheme="minorHAnsi"/>
          <w:b/>
          <w:bCs/>
          <w:sz w:val="22"/>
          <w:szCs w:val="22"/>
        </w:rPr>
        <w:t xml:space="preserve"> - IPCEI </w:t>
      </w:r>
      <w:r w:rsidR="00153544" w:rsidRPr="00657851">
        <w:rPr>
          <w:rFonts w:asciiTheme="minorHAnsi" w:hAnsiTheme="minorHAnsi" w:cstheme="minorHAnsi"/>
          <w:b/>
          <w:bCs/>
          <w:sz w:val="22"/>
          <w:szCs w:val="22"/>
        </w:rPr>
        <w:t>AST</w:t>
      </w:r>
      <w:r w:rsidR="00190C9F" w:rsidRPr="00657851">
        <w:rPr>
          <w:rFonts w:asciiTheme="minorHAnsi" w:hAnsiTheme="minorHAnsi" w:cstheme="minorHAnsi"/>
          <w:sz w:val="22"/>
          <w:szCs w:val="22"/>
        </w:rPr>
        <w:t>.</w:t>
      </w:r>
    </w:p>
    <w:p w14:paraId="7A474442" w14:textId="47E40EE3" w:rsidR="00190C9F" w:rsidRPr="00657851" w:rsidRDefault="0039239F" w:rsidP="00190C9F">
      <w:pPr>
        <w:pStyle w:val="Default"/>
        <w:spacing w:after="240" w:line="276" w:lineRule="auto"/>
        <w:jc w:val="both"/>
        <w:rPr>
          <w:rFonts w:asciiTheme="minorHAnsi" w:hAnsiTheme="minorHAnsi" w:cstheme="minorHAnsi"/>
          <w:sz w:val="22"/>
          <w:szCs w:val="22"/>
        </w:rPr>
      </w:pPr>
      <w:r w:rsidRPr="00657851">
        <w:rPr>
          <w:rFonts w:asciiTheme="minorHAnsi" w:hAnsiTheme="minorHAnsi" w:cstheme="minorHAnsi"/>
          <w:sz w:val="22"/>
          <w:szCs w:val="22"/>
        </w:rPr>
        <w:t xml:space="preserve">El propósito de este </w:t>
      </w:r>
      <w:r w:rsidR="00190C9F" w:rsidRPr="00657851">
        <w:rPr>
          <w:rFonts w:asciiTheme="minorHAnsi" w:hAnsiTheme="minorHAnsi" w:cstheme="minorHAnsi"/>
          <w:sz w:val="22"/>
          <w:szCs w:val="22"/>
        </w:rPr>
        <w:t xml:space="preserve">IPCEI </w:t>
      </w:r>
      <w:r w:rsidRPr="00657851">
        <w:rPr>
          <w:rFonts w:asciiTheme="minorHAnsi" w:hAnsiTheme="minorHAnsi" w:cstheme="minorHAnsi"/>
          <w:sz w:val="22"/>
          <w:szCs w:val="22"/>
        </w:rPr>
        <w:t xml:space="preserve">es proporcionar </w:t>
      </w:r>
      <w:r w:rsidR="00190C9F" w:rsidRPr="00657851">
        <w:rPr>
          <w:rFonts w:asciiTheme="minorHAnsi" w:hAnsiTheme="minorHAnsi" w:cstheme="minorHAnsi"/>
          <w:sz w:val="22"/>
          <w:szCs w:val="22"/>
        </w:rPr>
        <w:t xml:space="preserve">el impulso necesario para que la industria europea de semiconductores aproveche las oportunidades emergentes y establezca nuevas posiciones de </w:t>
      </w:r>
      <w:r w:rsidR="00190C9F" w:rsidRPr="00657851">
        <w:rPr>
          <w:rFonts w:asciiTheme="minorHAnsi" w:hAnsiTheme="minorHAnsi" w:cstheme="minorHAnsi"/>
          <w:sz w:val="22"/>
          <w:szCs w:val="22"/>
        </w:rPr>
        <w:lastRenderedPageBreak/>
        <w:t xml:space="preserve">liderazgo tecnológico mundial y fortaleza de mercado. </w:t>
      </w:r>
      <w:proofErr w:type="spellStart"/>
      <w:r w:rsidR="00190C9F" w:rsidRPr="00657851">
        <w:rPr>
          <w:rFonts w:asciiTheme="minorHAnsi" w:hAnsiTheme="minorHAnsi" w:cstheme="minorHAnsi"/>
          <w:sz w:val="22"/>
          <w:szCs w:val="22"/>
        </w:rPr>
        <w:t>Megatendencias</w:t>
      </w:r>
      <w:proofErr w:type="spellEnd"/>
      <w:r w:rsidR="00190C9F" w:rsidRPr="00657851">
        <w:rPr>
          <w:rFonts w:asciiTheme="minorHAnsi" w:hAnsiTheme="minorHAnsi" w:cstheme="minorHAnsi"/>
          <w:sz w:val="22"/>
          <w:szCs w:val="22"/>
        </w:rPr>
        <w:t xml:space="preserve"> como la Inteligencia Artificial, la Automatización, la Seguridad y la Sostenibilidad continúan acelerándose, lo que da lugar a una transformación profunda de la industria de los semiconductores, así como de las industrias aguas abajo a las que abastece, generando nuevas oportunidades de innovación y de mercado.</w:t>
      </w:r>
    </w:p>
    <w:p w14:paraId="1B1294CF" w14:textId="77777777" w:rsidR="00190C9F" w:rsidRPr="00657851" w:rsidRDefault="00190C9F" w:rsidP="00190C9F">
      <w:pPr>
        <w:pStyle w:val="Default"/>
        <w:spacing w:after="240" w:line="276" w:lineRule="auto"/>
        <w:jc w:val="both"/>
        <w:rPr>
          <w:rFonts w:asciiTheme="minorHAnsi" w:hAnsiTheme="minorHAnsi" w:cstheme="minorHAnsi"/>
          <w:sz w:val="22"/>
          <w:szCs w:val="22"/>
        </w:rPr>
      </w:pPr>
      <w:r w:rsidRPr="00657851">
        <w:rPr>
          <w:rFonts w:asciiTheme="minorHAnsi" w:hAnsiTheme="minorHAnsi" w:cstheme="minorHAnsi"/>
          <w:sz w:val="22"/>
          <w:szCs w:val="22"/>
        </w:rPr>
        <w:t>Como proyecto integrado, el IPCEI AST implicará a Estados miembros y participantes que se comprometerán a contribuir al proyecto mediante la alineación en áreas tecnológicas estratégicas, el desarrollo de tecnologías innovadoras y la realización de importantes inversiones, con el fin de garantizar que Europa aproveche estas nuevas oportunidades, apoyando al nivel adecuado la transición desde la investigación puntera en semiconductores hacia productos y procesos de producción viables y orientados al mercado.</w:t>
      </w:r>
    </w:p>
    <w:p w14:paraId="68298D78" w14:textId="32E3945A" w:rsidR="00F72C95" w:rsidRPr="00657851" w:rsidRDefault="00190C9F" w:rsidP="00190C9F">
      <w:pPr>
        <w:pStyle w:val="Default"/>
        <w:spacing w:after="240" w:line="276" w:lineRule="auto"/>
        <w:jc w:val="both"/>
        <w:rPr>
          <w:rFonts w:asciiTheme="minorHAnsi" w:hAnsiTheme="minorHAnsi" w:cstheme="minorHAnsi"/>
          <w:sz w:val="22"/>
          <w:szCs w:val="22"/>
        </w:rPr>
      </w:pPr>
      <w:r w:rsidRPr="00657851">
        <w:rPr>
          <w:rFonts w:asciiTheme="minorHAnsi" w:hAnsiTheme="minorHAnsi" w:cstheme="minorHAnsi"/>
          <w:sz w:val="22"/>
          <w:szCs w:val="22"/>
        </w:rPr>
        <w:t>Asimismo, la participación de un elevado número de actores, con diversos perfiles y ámbitos de especialización, procedentes tanto de la industria como de la I+D, contribuirá al desarrollo de un ecosistema europeo de semiconductores altamente innovador, capaz de responder a los requisitos más estratégicos de los sectores industriales de la UE, reforzando así su competitividad y resiliencia</w:t>
      </w:r>
      <w:r w:rsidR="00F70FB2" w:rsidRPr="00657851">
        <w:rPr>
          <w:rFonts w:asciiTheme="minorHAnsi" w:hAnsiTheme="minorHAnsi" w:cstheme="minorHAnsi"/>
          <w:sz w:val="22"/>
          <w:szCs w:val="22"/>
        </w:rPr>
        <w:t>.</w:t>
      </w:r>
    </w:p>
    <w:p w14:paraId="1DE37FFC" w14:textId="7F85F4E0" w:rsidR="002934E8" w:rsidRPr="00657851" w:rsidRDefault="0039239F" w:rsidP="003757A6">
      <w:pPr>
        <w:pStyle w:val="Default"/>
        <w:spacing w:after="240" w:line="276" w:lineRule="auto"/>
        <w:jc w:val="both"/>
        <w:rPr>
          <w:rFonts w:asciiTheme="minorHAnsi" w:hAnsiTheme="minorHAnsi" w:cstheme="minorHAnsi"/>
          <w:color w:val="auto"/>
          <w:sz w:val="22"/>
          <w:szCs w:val="22"/>
        </w:rPr>
      </w:pPr>
      <w:r w:rsidRPr="00657851">
        <w:rPr>
          <w:rFonts w:asciiTheme="minorHAnsi" w:hAnsiTheme="minorHAnsi" w:cstheme="minorHAnsi"/>
          <w:color w:val="auto"/>
          <w:sz w:val="22"/>
          <w:szCs w:val="22"/>
        </w:rPr>
        <w:t xml:space="preserve">Tras el acuerdo de noviembre, dio comienzo la fase de diseño del IPCEI AST con el objetivo de definir la estructura, el alcance y los objetivos de este macroproyecto europeo, así como las áreas prioritarias sobre las que deberán alinearse los proyectos individuales que aspiren a participar en la iniciativa. </w:t>
      </w:r>
      <w:r w:rsidR="002934E8" w:rsidRPr="00657851">
        <w:rPr>
          <w:rFonts w:asciiTheme="minorHAnsi" w:hAnsiTheme="minorHAnsi" w:cstheme="minorHAnsi"/>
          <w:color w:val="auto"/>
          <w:sz w:val="22"/>
          <w:szCs w:val="22"/>
        </w:rPr>
        <w:t xml:space="preserve">El documento de trabajo </w:t>
      </w:r>
      <w:r w:rsidR="000963C7" w:rsidRPr="00657851">
        <w:rPr>
          <w:rFonts w:asciiTheme="minorHAnsi" w:hAnsiTheme="minorHAnsi" w:cstheme="minorHAnsi"/>
          <w:color w:val="auto"/>
          <w:sz w:val="22"/>
          <w:szCs w:val="22"/>
        </w:rPr>
        <w:t xml:space="preserve">“IPCEI AST </w:t>
      </w:r>
      <w:r w:rsidR="008F111D" w:rsidRPr="00657851">
        <w:rPr>
          <w:rFonts w:asciiTheme="minorHAnsi" w:hAnsiTheme="minorHAnsi" w:cstheme="minorHAnsi"/>
          <w:color w:val="auto"/>
          <w:sz w:val="22"/>
          <w:szCs w:val="22"/>
        </w:rPr>
        <w:t>central narrative</w:t>
      </w:r>
      <w:r w:rsidR="000963C7" w:rsidRPr="00657851">
        <w:rPr>
          <w:rFonts w:asciiTheme="minorHAnsi" w:hAnsiTheme="minorHAnsi" w:cstheme="minorHAnsi"/>
          <w:color w:val="auto"/>
          <w:sz w:val="22"/>
          <w:szCs w:val="22"/>
        </w:rPr>
        <w:t>”</w:t>
      </w:r>
      <w:r w:rsidR="002934E8" w:rsidRPr="00657851">
        <w:rPr>
          <w:rFonts w:asciiTheme="minorHAnsi" w:hAnsiTheme="minorHAnsi" w:cstheme="minorHAnsi"/>
          <w:color w:val="auto"/>
          <w:sz w:val="22"/>
          <w:szCs w:val="22"/>
        </w:rPr>
        <w:t>, que plasma los resultados obtenidos en esta primera fase de diseño, se encuentra entre los anexos del Anuncio de Manifestaciones de Interés</w:t>
      </w:r>
      <w:r w:rsidR="008F111D" w:rsidRPr="00657851">
        <w:rPr>
          <w:rStyle w:val="Refdenotaalpie"/>
          <w:rFonts w:asciiTheme="minorHAnsi" w:hAnsiTheme="minorHAnsi" w:cstheme="minorHAnsi"/>
          <w:color w:val="auto"/>
          <w:sz w:val="22"/>
          <w:szCs w:val="22"/>
        </w:rPr>
        <w:footnoteReference w:id="3"/>
      </w:r>
      <w:r w:rsidR="002934E8" w:rsidRPr="00657851">
        <w:rPr>
          <w:rFonts w:asciiTheme="minorHAnsi" w:hAnsiTheme="minorHAnsi" w:cstheme="minorHAnsi"/>
          <w:color w:val="auto"/>
          <w:sz w:val="22"/>
          <w:szCs w:val="22"/>
        </w:rPr>
        <w:t>.</w:t>
      </w:r>
    </w:p>
    <w:p w14:paraId="2A75836A" w14:textId="2CB8FBF9" w:rsidR="003757A6" w:rsidRPr="00657851" w:rsidRDefault="00B80A90" w:rsidP="003757A6">
      <w:pPr>
        <w:pStyle w:val="Default"/>
        <w:spacing w:after="240" w:line="276" w:lineRule="auto"/>
        <w:jc w:val="both"/>
        <w:rPr>
          <w:rFonts w:asciiTheme="minorHAnsi" w:hAnsiTheme="minorHAnsi" w:cstheme="minorHAnsi"/>
          <w:color w:val="auto"/>
          <w:sz w:val="22"/>
          <w:szCs w:val="22"/>
        </w:rPr>
      </w:pPr>
      <w:r w:rsidRPr="00657851">
        <w:rPr>
          <w:rFonts w:asciiTheme="minorHAnsi" w:hAnsiTheme="minorHAnsi" w:cstheme="minorHAnsi"/>
          <w:color w:val="auto"/>
          <w:sz w:val="22"/>
          <w:szCs w:val="22"/>
        </w:rPr>
        <w:t>Tras la</w:t>
      </w:r>
      <w:r w:rsidR="00065B05" w:rsidRPr="00657851">
        <w:rPr>
          <w:rFonts w:asciiTheme="minorHAnsi" w:hAnsiTheme="minorHAnsi" w:cstheme="minorHAnsi"/>
          <w:color w:val="auto"/>
          <w:sz w:val="22"/>
          <w:szCs w:val="22"/>
        </w:rPr>
        <w:t xml:space="preserve"> fase de diseño, </w:t>
      </w:r>
      <w:r w:rsidR="0039239F" w:rsidRPr="00657851">
        <w:rPr>
          <w:rFonts w:asciiTheme="minorHAnsi" w:hAnsiTheme="minorHAnsi" w:cstheme="minorHAnsi"/>
          <w:color w:val="auto"/>
          <w:sz w:val="22"/>
          <w:szCs w:val="22"/>
        </w:rPr>
        <w:t xml:space="preserve">los Estados miembros deben preseleccionar a las empresas que aspiran a participar en el IPCEI a través de los procedimientos que se determinen en los denominados anuncios de </w:t>
      </w:r>
      <w:r w:rsidR="003757A6" w:rsidRPr="00657851">
        <w:rPr>
          <w:rFonts w:asciiTheme="minorHAnsi" w:hAnsiTheme="minorHAnsi" w:cstheme="minorHAnsi"/>
          <w:color w:val="auto"/>
          <w:sz w:val="22"/>
          <w:szCs w:val="22"/>
        </w:rPr>
        <w:t>manifestaciones de interés, en las que los interesados presentan sus propuestas a través de los documentos específicos a tal efecto. Posteriormente, las autoridades nacionales comunicarán a aquellos participantes que cumplan los requisitos su continuidad a una segunda fase del IPCEI AST.</w:t>
      </w:r>
    </w:p>
    <w:p w14:paraId="793F3898" w14:textId="151E09D6" w:rsidR="003757A6" w:rsidRPr="00657851" w:rsidRDefault="003757A6" w:rsidP="003757A6">
      <w:pPr>
        <w:pStyle w:val="Default"/>
        <w:spacing w:after="240" w:line="276" w:lineRule="auto"/>
        <w:jc w:val="both"/>
        <w:rPr>
          <w:rFonts w:asciiTheme="minorHAnsi" w:hAnsiTheme="minorHAnsi" w:cstheme="minorHAnsi"/>
          <w:color w:val="auto"/>
          <w:sz w:val="22"/>
          <w:szCs w:val="22"/>
        </w:rPr>
      </w:pPr>
      <w:r w:rsidRPr="00657851">
        <w:rPr>
          <w:rFonts w:asciiTheme="minorHAnsi" w:hAnsiTheme="minorHAnsi" w:cstheme="minorHAnsi"/>
          <w:color w:val="auto"/>
          <w:sz w:val="22"/>
          <w:szCs w:val="22"/>
        </w:rPr>
        <w:t>Aquellos participantes preseleccionados y que permanecen en el proceso son invitados a asistir a un proceso de interacción a nivel europeo a través de una plataforma virtual, conocido como match-</w:t>
      </w:r>
      <w:proofErr w:type="spellStart"/>
      <w:r w:rsidRPr="00657851">
        <w:rPr>
          <w:rFonts w:asciiTheme="minorHAnsi" w:hAnsiTheme="minorHAnsi" w:cstheme="minorHAnsi"/>
          <w:color w:val="auto"/>
          <w:sz w:val="22"/>
          <w:szCs w:val="22"/>
        </w:rPr>
        <w:t>making</w:t>
      </w:r>
      <w:proofErr w:type="spellEnd"/>
      <w:r w:rsidRPr="00657851">
        <w:rPr>
          <w:rFonts w:asciiTheme="minorHAnsi" w:hAnsiTheme="minorHAnsi" w:cstheme="minorHAnsi"/>
          <w:color w:val="auto"/>
          <w:sz w:val="22"/>
          <w:szCs w:val="22"/>
        </w:rPr>
        <w:t>, a través de la cual tendrán la oportunidad de ponerse en contacto entre sí para explorar la posibilidad de trabajar de manera conjunta y coordinada dentro del marco del IPCEI.</w:t>
      </w:r>
    </w:p>
    <w:p w14:paraId="096B1D2D" w14:textId="4FA73854" w:rsidR="003757A6" w:rsidRPr="00657851" w:rsidRDefault="003757A6" w:rsidP="003757A6">
      <w:pPr>
        <w:pStyle w:val="Default"/>
        <w:spacing w:after="240" w:line="276" w:lineRule="auto"/>
        <w:jc w:val="both"/>
        <w:rPr>
          <w:rFonts w:asciiTheme="minorHAnsi" w:hAnsiTheme="minorHAnsi" w:cstheme="minorHAnsi"/>
          <w:color w:val="auto"/>
          <w:sz w:val="22"/>
          <w:szCs w:val="22"/>
        </w:rPr>
      </w:pPr>
      <w:r w:rsidRPr="00657851">
        <w:rPr>
          <w:rFonts w:asciiTheme="minorHAnsi" w:hAnsiTheme="minorHAnsi" w:cstheme="minorHAnsi"/>
          <w:color w:val="auto"/>
          <w:sz w:val="22"/>
          <w:szCs w:val="22"/>
        </w:rPr>
        <w:t>A partir de dichas interacciones</w:t>
      </w:r>
      <w:r w:rsidR="00756E79" w:rsidRPr="00657851">
        <w:rPr>
          <w:rFonts w:asciiTheme="minorHAnsi" w:hAnsiTheme="minorHAnsi" w:cstheme="minorHAnsi"/>
          <w:color w:val="auto"/>
          <w:sz w:val="22"/>
          <w:szCs w:val="22"/>
        </w:rPr>
        <w:t xml:space="preserve"> </w:t>
      </w:r>
      <w:r w:rsidRPr="00657851">
        <w:rPr>
          <w:rFonts w:asciiTheme="minorHAnsi" w:hAnsiTheme="minorHAnsi" w:cstheme="minorHAnsi"/>
          <w:color w:val="auto"/>
          <w:sz w:val="22"/>
          <w:szCs w:val="22"/>
        </w:rPr>
        <w:t xml:space="preserve">se </w:t>
      </w:r>
      <w:r w:rsidR="008F4DA8" w:rsidRPr="00657851">
        <w:rPr>
          <w:rFonts w:asciiTheme="minorHAnsi" w:hAnsiTheme="minorHAnsi" w:cstheme="minorHAnsi"/>
          <w:color w:val="auto"/>
          <w:sz w:val="22"/>
          <w:szCs w:val="22"/>
        </w:rPr>
        <w:t xml:space="preserve">trabaja en </w:t>
      </w:r>
      <w:r w:rsidRPr="00657851">
        <w:rPr>
          <w:rFonts w:asciiTheme="minorHAnsi" w:hAnsiTheme="minorHAnsi" w:cstheme="minorHAnsi"/>
          <w:color w:val="auto"/>
          <w:sz w:val="22"/>
          <w:szCs w:val="22"/>
        </w:rPr>
        <w:t>defin</w:t>
      </w:r>
      <w:r w:rsidR="008F4DA8" w:rsidRPr="00657851">
        <w:rPr>
          <w:rFonts w:asciiTheme="minorHAnsi" w:hAnsiTheme="minorHAnsi" w:cstheme="minorHAnsi"/>
          <w:color w:val="auto"/>
          <w:sz w:val="22"/>
          <w:szCs w:val="22"/>
        </w:rPr>
        <w:t>ir</w:t>
      </w:r>
      <w:r w:rsidRPr="00657851">
        <w:rPr>
          <w:rFonts w:asciiTheme="minorHAnsi" w:hAnsiTheme="minorHAnsi" w:cstheme="minorHAnsi"/>
          <w:color w:val="auto"/>
          <w:sz w:val="22"/>
          <w:szCs w:val="22"/>
        </w:rPr>
        <w:t xml:space="preserve"> las propuestas definitivas de proyectos de los participantes de los Estados miembros. Esta etapa culmina con la </w:t>
      </w:r>
      <w:proofErr w:type="spellStart"/>
      <w:r w:rsidRPr="00657851">
        <w:rPr>
          <w:rFonts w:asciiTheme="minorHAnsi" w:hAnsiTheme="minorHAnsi" w:cstheme="minorHAnsi"/>
          <w:color w:val="auto"/>
          <w:sz w:val="22"/>
          <w:szCs w:val="22"/>
        </w:rPr>
        <w:t>prenotificación</w:t>
      </w:r>
      <w:proofErr w:type="spellEnd"/>
      <w:r w:rsidRPr="00657851">
        <w:rPr>
          <w:rFonts w:asciiTheme="minorHAnsi" w:hAnsiTheme="minorHAnsi" w:cstheme="minorHAnsi"/>
          <w:color w:val="auto"/>
          <w:sz w:val="22"/>
          <w:szCs w:val="22"/>
        </w:rPr>
        <w:t xml:space="preserve"> y posterior notificación definitiva de proyectos nacionales ante la Comisión Europea.</w:t>
      </w:r>
    </w:p>
    <w:p w14:paraId="1B6E885C" w14:textId="7FD4C5A6" w:rsidR="00034B5C" w:rsidRPr="00657851" w:rsidRDefault="003757A6" w:rsidP="003757A6">
      <w:pPr>
        <w:pStyle w:val="Default"/>
        <w:spacing w:after="240" w:line="276" w:lineRule="auto"/>
        <w:jc w:val="both"/>
        <w:rPr>
          <w:rFonts w:asciiTheme="minorHAnsi" w:hAnsiTheme="minorHAnsi" w:cstheme="minorHAnsi"/>
          <w:color w:val="auto"/>
          <w:sz w:val="22"/>
          <w:szCs w:val="22"/>
        </w:rPr>
      </w:pPr>
      <w:r w:rsidRPr="00657851">
        <w:rPr>
          <w:rFonts w:asciiTheme="minorHAnsi" w:hAnsiTheme="minorHAnsi" w:cstheme="minorHAnsi"/>
          <w:color w:val="auto"/>
          <w:sz w:val="22"/>
          <w:szCs w:val="22"/>
        </w:rPr>
        <w:t xml:space="preserve">Finalmente, la Comisión Europea evalúa todas las propuestas presentadas por los participantes directos, asegurando su coherencia con el marco del IPCEI y su compatibilidad con el mercado interior. Como resultado de esta evaluación, se configura un proyecto europeo único a través de la publicación </w:t>
      </w:r>
      <w:r w:rsidRPr="00657851">
        <w:rPr>
          <w:rFonts w:asciiTheme="minorHAnsi" w:hAnsiTheme="minorHAnsi" w:cstheme="minorHAnsi"/>
          <w:color w:val="auto"/>
          <w:sz w:val="22"/>
          <w:szCs w:val="22"/>
        </w:rPr>
        <w:lastRenderedPageBreak/>
        <w:t xml:space="preserve">de la Decisión de la Comisión Europea, lo que permite proceder, en su caso, y siempre sujeto a la disponibilidad de fondos nacionales, a la concesión nacional de la financiación y al lanzamiento efectivo de los proyectos. </w:t>
      </w:r>
    </w:p>
    <w:p w14:paraId="545252B3" w14:textId="77777777" w:rsidR="00DF68E9" w:rsidRPr="00657851" w:rsidRDefault="00DF68E9" w:rsidP="002F072C">
      <w:pPr>
        <w:pStyle w:val="Ttulo1"/>
        <w:numPr>
          <w:ilvl w:val="0"/>
          <w:numId w:val="1"/>
        </w:numPr>
        <w:rPr>
          <w:rFonts w:asciiTheme="minorHAnsi" w:hAnsiTheme="minorHAnsi" w:cstheme="minorHAnsi"/>
          <w:sz w:val="22"/>
          <w:szCs w:val="22"/>
        </w:rPr>
      </w:pPr>
      <w:r w:rsidRPr="00657851">
        <w:rPr>
          <w:rFonts w:asciiTheme="minorHAnsi" w:hAnsiTheme="minorHAnsi" w:cstheme="minorHAnsi"/>
          <w:sz w:val="22"/>
          <w:szCs w:val="22"/>
        </w:rPr>
        <w:t>Modalidades de participación en un IPCEI</w:t>
      </w:r>
    </w:p>
    <w:p w14:paraId="05D8CDFD" w14:textId="4C6CE4CD" w:rsidR="00DF68E9" w:rsidRPr="00657851" w:rsidRDefault="00DF68E9" w:rsidP="00DF68E9">
      <w:pPr>
        <w:spacing w:line="276" w:lineRule="auto"/>
        <w:rPr>
          <w:rFonts w:asciiTheme="minorHAnsi" w:hAnsiTheme="minorHAnsi" w:cstheme="minorHAnsi"/>
        </w:rPr>
      </w:pPr>
      <w:r w:rsidRPr="00657851">
        <w:rPr>
          <w:rFonts w:asciiTheme="minorHAnsi" w:hAnsiTheme="minorHAnsi" w:cstheme="minorHAnsi"/>
        </w:rPr>
        <w:t xml:space="preserve">La modalidad de participación en un IPCEI determina los características y condiciones exigidas a los proyectos, el proceso a seguir, el nivel de exigencia de los participantes, así como las condiciones y mecanismos de financiación para la ejecución del proyecto. </w:t>
      </w:r>
    </w:p>
    <w:p w14:paraId="7A7DE3D3" w14:textId="2F27DF82" w:rsidR="00AD05D2" w:rsidRPr="00657851" w:rsidRDefault="00AD05D2" w:rsidP="00DF68E9">
      <w:pPr>
        <w:spacing w:line="276" w:lineRule="auto"/>
        <w:rPr>
          <w:rFonts w:asciiTheme="minorHAnsi" w:hAnsiTheme="minorHAnsi" w:cstheme="minorHAnsi"/>
        </w:rPr>
      </w:pPr>
      <w:r w:rsidRPr="00657851">
        <w:rPr>
          <w:rFonts w:asciiTheme="minorHAnsi" w:hAnsiTheme="minorHAnsi" w:cstheme="minorHAnsi"/>
        </w:rPr>
        <w:t>La participación de las empresas cuyos proyectos individuales superan todas las fases del proceso y conforman finalmente el IPCEI puede adoptar tres modalidades: participación directa, participación asociada o participación indirecta</w:t>
      </w:r>
      <w:r w:rsidR="002E61B8" w:rsidRPr="00657851">
        <w:rPr>
          <w:rFonts w:asciiTheme="minorHAnsi" w:hAnsiTheme="minorHAnsi" w:cstheme="minorHAnsi"/>
        </w:rPr>
        <w:t>.</w:t>
      </w:r>
    </w:p>
    <w:p w14:paraId="69630BE5" w14:textId="51AD2554" w:rsidR="00DF68E9" w:rsidRPr="00657851" w:rsidRDefault="00DF68E9" w:rsidP="002F072C">
      <w:pPr>
        <w:pStyle w:val="Prrafodelista"/>
        <w:numPr>
          <w:ilvl w:val="0"/>
          <w:numId w:val="4"/>
        </w:numPr>
        <w:spacing w:line="276" w:lineRule="auto"/>
        <w:rPr>
          <w:rFonts w:asciiTheme="minorHAnsi" w:hAnsiTheme="minorHAnsi" w:cstheme="minorHAnsi"/>
        </w:rPr>
      </w:pPr>
      <w:r w:rsidRPr="00657851">
        <w:rPr>
          <w:rFonts w:asciiTheme="minorHAnsi" w:hAnsiTheme="minorHAnsi" w:cstheme="minorHAnsi"/>
        </w:rPr>
        <w:t xml:space="preserve">Los </w:t>
      </w:r>
      <w:r w:rsidRPr="00657851">
        <w:rPr>
          <w:rFonts w:asciiTheme="minorHAnsi" w:hAnsiTheme="minorHAnsi" w:cstheme="minorHAnsi"/>
          <w:b/>
          <w:bCs/>
        </w:rPr>
        <w:t>participantes directos</w:t>
      </w:r>
      <w:r w:rsidRPr="00657851">
        <w:rPr>
          <w:rFonts w:asciiTheme="minorHAnsi" w:hAnsiTheme="minorHAnsi" w:cstheme="minorHAnsi"/>
        </w:rPr>
        <w:t>, son aquellos que contribuyen con proyectos de gran envergadura, con carácter altamente innovador y que estructuran el IPCEI. Participan en la gobernanza del IPCEI con plenos derechos y derecho a voto. Estos proyectos están sujetos a evaluación y aprobación por parte de la Comisión Europea. En este contexto, únicamente los participantes directos deberán, en su caso, cumplimentar la plantilla correspondiente al Cálculo de Costes y Brecha de Financiación. Si bien dicho documento no forma parte del ámbito de la presente manifestación de interés al quedar enmarcado en la siguiente etapa de la fase de diseño, se anticipa en esta etapa con carácter meramente orientativo.</w:t>
      </w:r>
    </w:p>
    <w:p w14:paraId="17CC37BF" w14:textId="77777777" w:rsidR="00DF68E9" w:rsidRPr="00657851" w:rsidRDefault="00DF68E9" w:rsidP="002F072C">
      <w:pPr>
        <w:pStyle w:val="Prrafodelista"/>
        <w:numPr>
          <w:ilvl w:val="0"/>
          <w:numId w:val="4"/>
        </w:numPr>
        <w:spacing w:line="276" w:lineRule="auto"/>
        <w:rPr>
          <w:rFonts w:asciiTheme="minorHAnsi" w:hAnsiTheme="minorHAnsi" w:cstheme="minorHAnsi"/>
        </w:rPr>
      </w:pPr>
      <w:r w:rsidRPr="00657851">
        <w:rPr>
          <w:rFonts w:asciiTheme="minorHAnsi" w:hAnsiTheme="minorHAnsi" w:cstheme="minorHAnsi"/>
        </w:rPr>
        <w:t xml:space="preserve">Los </w:t>
      </w:r>
      <w:r w:rsidRPr="00657851">
        <w:rPr>
          <w:rFonts w:asciiTheme="minorHAnsi" w:hAnsiTheme="minorHAnsi" w:cstheme="minorHAnsi"/>
          <w:b/>
          <w:bCs/>
        </w:rPr>
        <w:t>participantes asociados</w:t>
      </w:r>
      <w:r w:rsidRPr="00657851">
        <w:rPr>
          <w:rFonts w:asciiTheme="minorHAnsi" w:hAnsiTheme="minorHAnsi" w:cstheme="minorHAnsi"/>
        </w:rPr>
        <w:t>, son aquellos que contribuyen con un proyecto propio, de menor exigencia innovadora, pero con un aporte significativo a los objetivos del IPCEI. Estos proyectos no están sujetos a la evaluación formal por parte de la Comisión Europea. Estos participantes tendrán la posibilidad de presentar proyectos de forma conjunta, articulándose en consorcios que integren pequeñas y medianas empresas, centros de investigación, universidades y otros actores con menor presencia habitual en los IPCEI.</w:t>
      </w:r>
    </w:p>
    <w:p w14:paraId="10834EEA" w14:textId="77777777" w:rsidR="00DF68E9" w:rsidRPr="00657851" w:rsidRDefault="00DF68E9" w:rsidP="002F072C">
      <w:pPr>
        <w:pStyle w:val="Prrafodelista"/>
        <w:numPr>
          <w:ilvl w:val="0"/>
          <w:numId w:val="4"/>
        </w:numPr>
        <w:spacing w:line="276" w:lineRule="auto"/>
        <w:rPr>
          <w:rFonts w:asciiTheme="minorHAnsi" w:hAnsiTheme="minorHAnsi" w:cstheme="minorHAnsi"/>
        </w:rPr>
      </w:pPr>
      <w:r w:rsidRPr="00657851">
        <w:rPr>
          <w:rFonts w:asciiTheme="minorHAnsi" w:hAnsiTheme="minorHAnsi" w:cstheme="minorHAnsi"/>
        </w:rPr>
        <w:t xml:space="preserve">Los </w:t>
      </w:r>
      <w:r w:rsidRPr="00657851">
        <w:rPr>
          <w:rFonts w:asciiTheme="minorHAnsi" w:hAnsiTheme="minorHAnsi" w:cstheme="minorHAnsi"/>
          <w:b/>
          <w:bCs/>
        </w:rPr>
        <w:t>participantes indirectos</w:t>
      </w:r>
      <w:r w:rsidRPr="00657851">
        <w:rPr>
          <w:rFonts w:asciiTheme="minorHAnsi" w:hAnsiTheme="minorHAnsi" w:cstheme="minorHAnsi"/>
        </w:rPr>
        <w:t xml:space="preserve"> colaboran en el proyecto contribuyendo a ampliar el impacto del IPCEI en el ecosistema europeo. No obstante, quedan fuera del ámbito de la presente manifestación de interés. Estos participantes no están sujetos al proceso de selección nacional, no deben presentar una propuesta de proyecto ni reciben financiación directa en el marco del IPCEI.</w:t>
      </w:r>
    </w:p>
    <w:p w14:paraId="39A7CA44" w14:textId="77777777" w:rsidR="00AD05D2" w:rsidRPr="00657851" w:rsidRDefault="00AD05D2" w:rsidP="00AD05D2">
      <w:pPr>
        <w:spacing w:line="276" w:lineRule="auto"/>
        <w:rPr>
          <w:rFonts w:asciiTheme="minorHAnsi" w:hAnsiTheme="minorHAnsi" w:cstheme="minorHAnsi"/>
          <w:szCs w:val="22"/>
        </w:rPr>
      </w:pPr>
      <w:r w:rsidRPr="00657851">
        <w:rPr>
          <w:rFonts w:asciiTheme="minorHAnsi" w:hAnsiTheme="minorHAnsi" w:cstheme="minorHAnsi"/>
          <w:szCs w:val="22"/>
        </w:rPr>
        <w:t xml:space="preserve">Pueden consultarse las particularidades de cada modalidad de participación, en la </w:t>
      </w:r>
      <w:hyperlink r:id="rId13" w:history="1">
        <w:r w:rsidRPr="00657851">
          <w:rPr>
            <w:rStyle w:val="Hipervnculo"/>
            <w:rFonts w:asciiTheme="minorHAnsi" w:hAnsiTheme="minorHAnsi" w:cstheme="minorHAnsi"/>
            <w:szCs w:val="22"/>
          </w:rPr>
          <w:t>guía técnica</w:t>
        </w:r>
      </w:hyperlink>
      <w:r w:rsidRPr="00657851">
        <w:rPr>
          <w:rFonts w:asciiTheme="minorHAnsi" w:hAnsiTheme="minorHAnsi" w:cstheme="minorHAnsi"/>
          <w:szCs w:val="22"/>
        </w:rPr>
        <w:t xml:space="preserve"> del JEF (Joint </w:t>
      </w:r>
      <w:proofErr w:type="spellStart"/>
      <w:r w:rsidRPr="00657851">
        <w:rPr>
          <w:rFonts w:asciiTheme="minorHAnsi" w:hAnsiTheme="minorHAnsi" w:cstheme="minorHAnsi"/>
          <w:szCs w:val="22"/>
        </w:rPr>
        <w:t>European</w:t>
      </w:r>
      <w:proofErr w:type="spellEnd"/>
      <w:r w:rsidRPr="00657851">
        <w:rPr>
          <w:rFonts w:asciiTheme="minorHAnsi" w:hAnsiTheme="minorHAnsi" w:cstheme="minorHAnsi"/>
          <w:szCs w:val="22"/>
        </w:rPr>
        <w:t xml:space="preserve"> Forum) y en su </w:t>
      </w:r>
      <w:hyperlink r:id="rId14" w:history="1">
        <w:r w:rsidRPr="00657851">
          <w:rPr>
            <w:rStyle w:val="Hipervnculo"/>
            <w:rFonts w:asciiTheme="minorHAnsi" w:hAnsiTheme="minorHAnsi" w:cstheme="minorHAnsi"/>
            <w:szCs w:val="22"/>
          </w:rPr>
          <w:t>recomendación sobre los distintos roles</w:t>
        </w:r>
      </w:hyperlink>
      <w:r w:rsidRPr="00657851">
        <w:rPr>
          <w:rFonts w:asciiTheme="minorHAnsi" w:hAnsiTheme="minorHAnsi" w:cstheme="minorHAnsi"/>
          <w:szCs w:val="22"/>
        </w:rPr>
        <w:t>.</w:t>
      </w:r>
    </w:p>
    <w:p w14:paraId="18772726" w14:textId="60B413E7" w:rsidR="00DF68E9" w:rsidRPr="00657851" w:rsidRDefault="00DF68E9" w:rsidP="00DF68E9">
      <w:pPr>
        <w:spacing w:line="276" w:lineRule="auto"/>
        <w:rPr>
          <w:rFonts w:asciiTheme="minorHAnsi" w:hAnsiTheme="minorHAnsi" w:cstheme="minorHAnsi"/>
        </w:rPr>
      </w:pPr>
      <w:r w:rsidRPr="00657851">
        <w:rPr>
          <w:rFonts w:asciiTheme="minorHAnsi" w:hAnsiTheme="minorHAnsi" w:cstheme="minorHAnsi"/>
        </w:rPr>
        <w:t xml:space="preserve">La asignación de la modalidad de participación se determina durante el proceso de preparación del IPCEI. </w:t>
      </w:r>
      <w:r w:rsidR="00C852E0">
        <w:rPr>
          <w:rFonts w:asciiTheme="minorHAnsi" w:hAnsiTheme="minorHAnsi" w:cstheme="minorHAnsi"/>
        </w:rPr>
        <w:t>En función de la</w:t>
      </w:r>
      <w:r w:rsidR="00F35EA3">
        <w:rPr>
          <w:rFonts w:asciiTheme="minorHAnsi" w:hAnsiTheme="minorHAnsi" w:cstheme="minorHAnsi"/>
        </w:rPr>
        <w:t xml:space="preserve"> asignación de la modalidad de participación, se le podrá solicitar documentación adicional, siguiendo</w:t>
      </w:r>
      <w:r w:rsidR="00FC792C">
        <w:rPr>
          <w:rFonts w:asciiTheme="minorHAnsi" w:hAnsiTheme="minorHAnsi" w:cstheme="minorHAnsi"/>
        </w:rPr>
        <w:t xml:space="preserve"> las pautas de la documentación adjunta.</w:t>
      </w:r>
      <w:r w:rsidRPr="00657851">
        <w:rPr>
          <w:rFonts w:asciiTheme="minorHAnsi" w:hAnsiTheme="minorHAnsi" w:cstheme="minorHAnsi"/>
        </w:rPr>
        <w:t xml:space="preserve"> </w:t>
      </w:r>
    </w:p>
    <w:p w14:paraId="7E01AE24" w14:textId="7FA67EA3" w:rsidR="00756E79" w:rsidRPr="00657851" w:rsidRDefault="00756E79" w:rsidP="00DF68E9">
      <w:pPr>
        <w:spacing w:line="276" w:lineRule="auto"/>
        <w:rPr>
          <w:rFonts w:asciiTheme="minorHAnsi" w:hAnsiTheme="minorHAnsi" w:cstheme="minorHAnsi"/>
        </w:rPr>
      </w:pPr>
      <w:r w:rsidRPr="00657851">
        <w:rPr>
          <w:rFonts w:asciiTheme="minorHAnsi" w:hAnsiTheme="minorHAnsi" w:cstheme="minorHAnsi"/>
        </w:rPr>
        <w:t>La adhesión al proceso del IPCEI AST conlleva el compromiso por parte de los participantes de presentar la documentación con el máximo rigor, de participar activamente en el diseño, la gobernanza y las actividades comunes del IPCEI durante todo su ciclo de vida y de cumplir estrictamente los plazos establecidos durante todo el proceso, desde la fase de diseño hasta la completa finalización del IPCEI y la difusión de sus resultados.</w:t>
      </w:r>
    </w:p>
    <w:p w14:paraId="3155372A" w14:textId="077CF84D" w:rsidR="00756E79" w:rsidRPr="00657851" w:rsidRDefault="00756E79" w:rsidP="00DF68E9">
      <w:pPr>
        <w:spacing w:line="276" w:lineRule="auto"/>
        <w:rPr>
          <w:rFonts w:asciiTheme="minorHAnsi" w:hAnsiTheme="minorHAnsi" w:cstheme="minorHAnsi"/>
        </w:rPr>
      </w:pPr>
      <w:r w:rsidRPr="00657851">
        <w:rPr>
          <w:rFonts w:asciiTheme="minorHAnsi" w:hAnsiTheme="minorHAnsi" w:cstheme="minorHAnsi"/>
        </w:rPr>
        <w:lastRenderedPageBreak/>
        <w:t>Las empresas deberán desarrollar su trabajo en inglés y se comprometen a comunicarse con la Comisión y con el Coordinador del IPCEI A</w:t>
      </w:r>
      <w:r w:rsidR="003368D9" w:rsidRPr="00657851">
        <w:rPr>
          <w:rFonts w:asciiTheme="minorHAnsi" w:hAnsiTheme="minorHAnsi" w:cstheme="minorHAnsi"/>
        </w:rPr>
        <w:t>ST</w:t>
      </w:r>
      <w:r w:rsidRPr="00657851">
        <w:rPr>
          <w:rFonts w:asciiTheme="minorHAnsi" w:hAnsiTheme="minorHAnsi" w:cstheme="minorHAnsi"/>
        </w:rPr>
        <w:t xml:space="preserve"> únicamente a través de los Estados miembros.</w:t>
      </w:r>
    </w:p>
    <w:p w14:paraId="13FFE4C4" w14:textId="7D51C611" w:rsidR="001A23B5" w:rsidRPr="00657851" w:rsidRDefault="001A23B5" w:rsidP="002F072C">
      <w:pPr>
        <w:pStyle w:val="Ttulo1"/>
        <w:numPr>
          <w:ilvl w:val="0"/>
          <w:numId w:val="1"/>
        </w:numPr>
        <w:jc w:val="both"/>
        <w:rPr>
          <w:rFonts w:asciiTheme="minorHAnsi" w:hAnsiTheme="minorHAnsi" w:cstheme="minorHAnsi"/>
          <w:sz w:val="22"/>
          <w:szCs w:val="22"/>
        </w:rPr>
      </w:pPr>
      <w:r w:rsidRPr="00657851">
        <w:rPr>
          <w:rFonts w:asciiTheme="minorHAnsi" w:hAnsiTheme="minorHAnsi" w:cstheme="minorHAnsi"/>
          <w:sz w:val="22"/>
          <w:szCs w:val="22"/>
        </w:rPr>
        <w:t>Financiación</w:t>
      </w:r>
    </w:p>
    <w:p w14:paraId="2891646C" w14:textId="250DC1C9" w:rsidR="003368D9" w:rsidRPr="00657851" w:rsidRDefault="003368D9" w:rsidP="00785DB2">
      <w:pPr>
        <w:spacing w:line="276" w:lineRule="auto"/>
        <w:rPr>
          <w:rFonts w:asciiTheme="minorHAnsi" w:hAnsiTheme="minorHAnsi" w:cstheme="minorHAnsi"/>
        </w:rPr>
      </w:pPr>
      <w:r w:rsidRPr="00657851">
        <w:rPr>
          <w:rFonts w:asciiTheme="minorHAnsi" w:hAnsiTheme="minorHAnsi" w:cstheme="minorHAnsi"/>
        </w:rPr>
        <w:t>Los proyectos IPCEI son cofinanciados por los Estados miembros participantes, variando las condiciones y el modelo de financiación según el tipo de participación y la normativa aplicable.</w:t>
      </w:r>
    </w:p>
    <w:p w14:paraId="373619B2" w14:textId="1260D9D4" w:rsidR="00C63D5D" w:rsidRPr="00657851" w:rsidRDefault="001A23B5" w:rsidP="00785DB2">
      <w:pPr>
        <w:spacing w:line="276" w:lineRule="auto"/>
        <w:rPr>
          <w:rFonts w:asciiTheme="minorHAnsi" w:hAnsiTheme="minorHAnsi" w:cstheme="minorHAnsi"/>
        </w:rPr>
      </w:pPr>
      <w:r w:rsidRPr="00657851">
        <w:rPr>
          <w:rFonts w:asciiTheme="minorHAnsi" w:hAnsiTheme="minorHAnsi" w:cstheme="minorHAnsi"/>
        </w:rPr>
        <w:t xml:space="preserve">No existe en este momento ningún programa de financiación específico europeo o nacional para apoyar la participación de </w:t>
      </w:r>
      <w:r w:rsidR="00B974C9" w:rsidRPr="00657851">
        <w:rPr>
          <w:rFonts w:asciiTheme="minorHAnsi" w:hAnsiTheme="minorHAnsi" w:cstheme="minorHAnsi"/>
        </w:rPr>
        <w:t xml:space="preserve">proyectos individuales </w:t>
      </w:r>
      <w:r w:rsidRPr="00657851">
        <w:rPr>
          <w:rFonts w:asciiTheme="minorHAnsi" w:hAnsiTheme="minorHAnsi" w:cstheme="minorHAnsi"/>
        </w:rPr>
        <w:t xml:space="preserve">en el IPCEI </w:t>
      </w:r>
      <w:r w:rsidR="00756E79" w:rsidRPr="00657851">
        <w:rPr>
          <w:rFonts w:asciiTheme="minorHAnsi" w:hAnsiTheme="minorHAnsi" w:cstheme="minorHAnsi"/>
        </w:rPr>
        <w:t>AST</w:t>
      </w:r>
      <w:r w:rsidRPr="00657851">
        <w:rPr>
          <w:rFonts w:asciiTheme="minorHAnsi" w:hAnsiTheme="minorHAnsi" w:cstheme="minorHAnsi"/>
        </w:rPr>
        <w:t xml:space="preserve">. </w:t>
      </w:r>
    </w:p>
    <w:p w14:paraId="65DBAE57" w14:textId="20AF80DF" w:rsidR="00894AB4" w:rsidRPr="00657851" w:rsidRDefault="005D5036" w:rsidP="005D5036">
      <w:pPr>
        <w:spacing w:line="276" w:lineRule="auto"/>
        <w:rPr>
          <w:rFonts w:asciiTheme="minorHAnsi" w:hAnsiTheme="minorHAnsi" w:cstheme="minorHAnsi"/>
        </w:rPr>
      </w:pPr>
      <w:r w:rsidRPr="00657851">
        <w:rPr>
          <w:rFonts w:asciiTheme="minorHAnsi" w:hAnsiTheme="minorHAnsi" w:cstheme="minorHAnsi"/>
        </w:rPr>
        <w:t xml:space="preserve">La participación en </w:t>
      </w:r>
      <w:r w:rsidR="00B974C9" w:rsidRPr="00657851">
        <w:rPr>
          <w:rFonts w:asciiTheme="minorHAnsi" w:hAnsiTheme="minorHAnsi" w:cstheme="minorHAnsi"/>
        </w:rPr>
        <w:t xml:space="preserve">el presente anuncio de </w:t>
      </w:r>
      <w:r w:rsidRPr="00657851">
        <w:rPr>
          <w:rFonts w:asciiTheme="minorHAnsi" w:hAnsiTheme="minorHAnsi" w:cstheme="minorHAnsi"/>
        </w:rPr>
        <w:t xml:space="preserve">Manifestación de Interés o en </w:t>
      </w:r>
      <w:r w:rsidR="00B974C9" w:rsidRPr="00657851">
        <w:rPr>
          <w:rFonts w:asciiTheme="minorHAnsi" w:hAnsiTheme="minorHAnsi" w:cstheme="minorHAnsi"/>
        </w:rPr>
        <w:t xml:space="preserve">las fases de preparación </w:t>
      </w:r>
      <w:r w:rsidRPr="00657851">
        <w:rPr>
          <w:rFonts w:asciiTheme="minorHAnsi" w:hAnsiTheme="minorHAnsi" w:cstheme="minorHAnsi"/>
        </w:rPr>
        <w:t xml:space="preserve">del IPCEI </w:t>
      </w:r>
      <w:r w:rsidR="003368D9" w:rsidRPr="00657851">
        <w:rPr>
          <w:rFonts w:asciiTheme="minorHAnsi" w:hAnsiTheme="minorHAnsi" w:cstheme="minorHAnsi"/>
        </w:rPr>
        <w:t>AST</w:t>
      </w:r>
      <w:r w:rsidRPr="00657851">
        <w:rPr>
          <w:rFonts w:asciiTheme="minorHAnsi" w:hAnsiTheme="minorHAnsi" w:cstheme="minorHAnsi"/>
        </w:rPr>
        <w:t xml:space="preserve"> no otorgará derecho alguno de acceso a la eventual financiación que pueda ser convocada por la Administración para la consecución de los objetivos planteados, ni generará obligación alguna para esta. </w:t>
      </w:r>
      <w:r w:rsidR="00871B4F" w:rsidRPr="00657851">
        <w:rPr>
          <w:rFonts w:asciiTheme="minorHAnsi" w:hAnsiTheme="minorHAnsi" w:cstheme="minorHAnsi"/>
        </w:rPr>
        <w:t>La financiación final de los proyectos quedará condicionada tanto a la Decisión final de la Comisión Europea como a la disponibilidad de fondos y la eventual resolución de concesión nacional de la subvención, no adquiriéndose en ningún caso derecho alguno a financiación hasta que se produzca, en su caso, la correspondiente concesión nacional tras la publicación de dicha Decisión.</w:t>
      </w:r>
    </w:p>
    <w:p w14:paraId="3557EB44" w14:textId="593CBF32" w:rsidR="00050155" w:rsidRPr="00657851" w:rsidRDefault="00B41E57" w:rsidP="002F072C">
      <w:pPr>
        <w:pStyle w:val="Ttulo1"/>
        <w:numPr>
          <w:ilvl w:val="0"/>
          <w:numId w:val="1"/>
        </w:numPr>
        <w:jc w:val="both"/>
        <w:rPr>
          <w:rFonts w:asciiTheme="minorHAnsi" w:hAnsiTheme="minorHAnsi" w:cstheme="minorHAnsi"/>
          <w:sz w:val="22"/>
          <w:szCs w:val="22"/>
        </w:rPr>
      </w:pPr>
      <w:r w:rsidRPr="00657851">
        <w:rPr>
          <w:rFonts w:asciiTheme="minorHAnsi" w:hAnsiTheme="minorHAnsi" w:cstheme="minorHAnsi"/>
          <w:sz w:val="22"/>
          <w:szCs w:val="22"/>
        </w:rPr>
        <w:t xml:space="preserve">Anuncio Público para la presentación de </w:t>
      </w:r>
      <w:r w:rsidR="00050155" w:rsidRPr="00657851">
        <w:rPr>
          <w:rFonts w:asciiTheme="minorHAnsi" w:hAnsiTheme="minorHAnsi" w:cstheme="minorHAnsi"/>
          <w:sz w:val="22"/>
          <w:szCs w:val="22"/>
        </w:rPr>
        <w:t>Manifestaci</w:t>
      </w:r>
      <w:r w:rsidRPr="00657851">
        <w:rPr>
          <w:rFonts w:asciiTheme="minorHAnsi" w:hAnsiTheme="minorHAnsi" w:cstheme="minorHAnsi"/>
          <w:sz w:val="22"/>
          <w:szCs w:val="22"/>
        </w:rPr>
        <w:t xml:space="preserve">ones </w:t>
      </w:r>
      <w:r w:rsidR="00050155" w:rsidRPr="00657851">
        <w:rPr>
          <w:rFonts w:asciiTheme="minorHAnsi" w:hAnsiTheme="minorHAnsi" w:cstheme="minorHAnsi"/>
          <w:sz w:val="22"/>
          <w:szCs w:val="22"/>
        </w:rPr>
        <w:t xml:space="preserve">de </w:t>
      </w:r>
      <w:r w:rsidRPr="00657851">
        <w:rPr>
          <w:rFonts w:asciiTheme="minorHAnsi" w:hAnsiTheme="minorHAnsi" w:cstheme="minorHAnsi"/>
          <w:sz w:val="22"/>
          <w:szCs w:val="22"/>
        </w:rPr>
        <w:t>I</w:t>
      </w:r>
      <w:r w:rsidR="00050155" w:rsidRPr="00657851">
        <w:rPr>
          <w:rFonts w:asciiTheme="minorHAnsi" w:hAnsiTheme="minorHAnsi" w:cstheme="minorHAnsi"/>
          <w:sz w:val="22"/>
          <w:szCs w:val="22"/>
        </w:rPr>
        <w:t>nterés</w:t>
      </w:r>
      <w:r w:rsidRPr="00657851">
        <w:rPr>
          <w:rFonts w:asciiTheme="minorHAnsi" w:hAnsiTheme="minorHAnsi" w:cstheme="minorHAnsi"/>
          <w:sz w:val="22"/>
          <w:szCs w:val="22"/>
        </w:rPr>
        <w:t xml:space="preserve"> relativas a la participación en el IPCEI </w:t>
      </w:r>
      <w:r w:rsidR="00CF639E" w:rsidRPr="00657851">
        <w:rPr>
          <w:rFonts w:asciiTheme="minorHAnsi" w:hAnsiTheme="minorHAnsi" w:cstheme="minorHAnsi"/>
          <w:sz w:val="22"/>
          <w:szCs w:val="22"/>
        </w:rPr>
        <w:t>AST</w:t>
      </w:r>
      <w:r w:rsidRPr="00657851">
        <w:rPr>
          <w:rFonts w:asciiTheme="minorHAnsi" w:hAnsiTheme="minorHAnsi" w:cstheme="minorHAnsi"/>
          <w:sz w:val="22"/>
          <w:szCs w:val="22"/>
        </w:rPr>
        <w:t xml:space="preserve"> </w:t>
      </w:r>
    </w:p>
    <w:p w14:paraId="1A2BA002" w14:textId="09D69DDF" w:rsidR="00050155" w:rsidRPr="00657851" w:rsidRDefault="00A25F4D" w:rsidP="00785DB2">
      <w:pPr>
        <w:pStyle w:val="Default"/>
        <w:spacing w:after="240" w:line="276" w:lineRule="auto"/>
        <w:jc w:val="both"/>
        <w:rPr>
          <w:rFonts w:asciiTheme="minorHAnsi" w:hAnsiTheme="minorHAnsi" w:cstheme="minorHAnsi"/>
          <w:sz w:val="22"/>
          <w:szCs w:val="22"/>
        </w:rPr>
      </w:pPr>
      <w:r w:rsidRPr="00657851">
        <w:rPr>
          <w:rFonts w:asciiTheme="minorHAnsi" w:hAnsiTheme="minorHAnsi" w:cstheme="minorHAnsi"/>
          <w:sz w:val="22"/>
          <w:szCs w:val="22"/>
        </w:rPr>
        <w:t>E</w:t>
      </w:r>
      <w:r w:rsidR="00050155" w:rsidRPr="00657851">
        <w:rPr>
          <w:rFonts w:asciiTheme="minorHAnsi" w:hAnsiTheme="minorHAnsi" w:cstheme="minorHAnsi"/>
          <w:sz w:val="22"/>
          <w:szCs w:val="22"/>
        </w:rPr>
        <w:t xml:space="preserve">l presente documento constituye </w:t>
      </w:r>
      <w:r w:rsidR="00453857" w:rsidRPr="00657851">
        <w:rPr>
          <w:rFonts w:asciiTheme="minorHAnsi" w:hAnsiTheme="minorHAnsi" w:cstheme="minorHAnsi"/>
          <w:sz w:val="22"/>
          <w:szCs w:val="22"/>
        </w:rPr>
        <w:t xml:space="preserve">el anuncio </w:t>
      </w:r>
      <w:r w:rsidR="00667BF5" w:rsidRPr="00657851">
        <w:rPr>
          <w:rFonts w:asciiTheme="minorHAnsi" w:hAnsiTheme="minorHAnsi" w:cstheme="minorHAnsi"/>
          <w:sz w:val="22"/>
          <w:szCs w:val="22"/>
        </w:rPr>
        <w:t>p</w:t>
      </w:r>
      <w:r w:rsidR="00B41E57" w:rsidRPr="00657851">
        <w:rPr>
          <w:rFonts w:asciiTheme="minorHAnsi" w:hAnsiTheme="minorHAnsi" w:cstheme="minorHAnsi"/>
          <w:sz w:val="22"/>
          <w:szCs w:val="22"/>
        </w:rPr>
        <w:t xml:space="preserve">úblico para la presentación de </w:t>
      </w:r>
      <w:r w:rsidR="00667BF5" w:rsidRPr="00657851">
        <w:rPr>
          <w:rFonts w:asciiTheme="minorHAnsi" w:hAnsiTheme="minorHAnsi" w:cstheme="minorHAnsi"/>
          <w:sz w:val="22"/>
          <w:szCs w:val="22"/>
        </w:rPr>
        <w:t xml:space="preserve">manifestaciones de interés </w:t>
      </w:r>
      <w:r w:rsidR="00B41E57" w:rsidRPr="00657851">
        <w:rPr>
          <w:rFonts w:asciiTheme="minorHAnsi" w:hAnsiTheme="minorHAnsi" w:cstheme="minorHAnsi"/>
          <w:sz w:val="22"/>
          <w:szCs w:val="22"/>
        </w:rPr>
        <w:t xml:space="preserve">relativas a la participación en el </w:t>
      </w:r>
      <w:r w:rsidR="00050155" w:rsidRPr="00657851">
        <w:rPr>
          <w:rFonts w:asciiTheme="minorHAnsi" w:hAnsiTheme="minorHAnsi" w:cstheme="minorHAnsi"/>
          <w:sz w:val="22"/>
          <w:szCs w:val="22"/>
        </w:rPr>
        <w:t xml:space="preserve">IPCEI de </w:t>
      </w:r>
      <w:r w:rsidR="00CA7B9E" w:rsidRPr="00657851">
        <w:rPr>
          <w:rFonts w:asciiTheme="minorHAnsi" w:hAnsiTheme="minorHAnsi" w:cstheme="minorHAnsi"/>
          <w:sz w:val="22"/>
          <w:szCs w:val="22"/>
        </w:rPr>
        <w:t>Tecnologías avanzadas de semiconductores</w:t>
      </w:r>
      <w:r w:rsidR="00667BF5" w:rsidRPr="00657851">
        <w:rPr>
          <w:rFonts w:asciiTheme="minorHAnsi" w:hAnsiTheme="minorHAnsi" w:cstheme="minorHAnsi"/>
          <w:sz w:val="22"/>
          <w:szCs w:val="22"/>
        </w:rPr>
        <w:t xml:space="preserve"> </w:t>
      </w:r>
      <w:r w:rsidR="00050155" w:rsidRPr="00657851">
        <w:rPr>
          <w:rFonts w:asciiTheme="minorHAnsi" w:hAnsiTheme="minorHAnsi" w:cstheme="minorHAnsi"/>
          <w:sz w:val="22"/>
          <w:szCs w:val="22"/>
        </w:rPr>
        <w:t xml:space="preserve">(IPCEI </w:t>
      </w:r>
      <w:r w:rsidR="00CF639E" w:rsidRPr="00657851">
        <w:rPr>
          <w:rFonts w:asciiTheme="minorHAnsi" w:hAnsiTheme="minorHAnsi" w:cstheme="minorHAnsi"/>
          <w:sz w:val="22"/>
          <w:szCs w:val="22"/>
        </w:rPr>
        <w:t>AST</w:t>
      </w:r>
      <w:r w:rsidR="00050155" w:rsidRPr="00657851">
        <w:rPr>
          <w:rFonts w:asciiTheme="minorHAnsi" w:hAnsiTheme="minorHAnsi" w:cstheme="minorHAnsi"/>
          <w:sz w:val="22"/>
          <w:szCs w:val="22"/>
        </w:rPr>
        <w:t xml:space="preserve">). </w:t>
      </w:r>
    </w:p>
    <w:p w14:paraId="73FEA0E2" w14:textId="19F6AA67" w:rsidR="00E60225" w:rsidRPr="00657851" w:rsidRDefault="00050155" w:rsidP="00785DB2">
      <w:pPr>
        <w:pStyle w:val="Default"/>
        <w:spacing w:after="240" w:line="276" w:lineRule="auto"/>
        <w:jc w:val="both"/>
        <w:rPr>
          <w:rFonts w:asciiTheme="minorHAnsi" w:hAnsiTheme="minorHAnsi" w:cstheme="minorHAnsi"/>
          <w:sz w:val="22"/>
          <w:szCs w:val="22"/>
        </w:rPr>
      </w:pPr>
      <w:r w:rsidRPr="00657851">
        <w:rPr>
          <w:rFonts w:asciiTheme="minorHAnsi" w:hAnsiTheme="minorHAnsi" w:cstheme="minorHAnsi"/>
          <w:sz w:val="22"/>
          <w:szCs w:val="22"/>
        </w:rPr>
        <w:t xml:space="preserve">Las propuestas recibidas serán </w:t>
      </w:r>
      <w:r w:rsidR="00667BF5" w:rsidRPr="00657851">
        <w:rPr>
          <w:rFonts w:asciiTheme="minorHAnsi" w:hAnsiTheme="minorHAnsi" w:cstheme="minorHAnsi"/>
          <w:sz w:val="22"/>
          <w:szCs w:val="22"/>
        </w:rPr>
        <w:t>examinadas</w:t>
      </w:r>
      <w:r w:rsidRPr="00657851">
        <w:rPr>
          <w:rFonts w:asciiTheme="minorHAnsi" w:hAnsiTheme="minorHAnsi" w:cstheme="minorHAnsi"/>
          <w:sz w:val="22"/>
          <w:szCs w:val="22"/>
        </w:rPr>
        <w:t xml:space="preserve"> </w:t>
      </w:r>
      <w:r w:rsidR="00667BF5" w:rsidRPr="00657851">
        <w:rPr>
          <w:rFonts w:asciiTheme="minorHAnsi" w:hAnsiTheme="minorHAnsi" w:cstheme="minorHAnsi"/>
          <w:sz w:val="22"/>
          <w:szCs w:val="22"/>
        </w:rPr>
        <w:t xml:space="preserve">al objeto de </w:t>
      </w:r>
      <w:r w:rsidR="00EA1481" w:rsidRPr="00657851">
        <w:rPr>
          <w:rFonts w:asciiTheme="minorHAnsi" w:hAnsiTheme="minorHAnsi" w:cstheme="minorHAnsi"/>
          <w:sz w:val="22"/>
          <w:szCs w:val="22"/>
        </w:rPr>
        <w:t>determinar</w:t>
      </w:r>
      <w:r w:rsidR="001F4315" w:rsidRPr="00657851">
        <w:rPr>
          <w:rFonts w:asciiTheme="minorHAnsi" w:hAnsiTheme="minorHAnsi" w:cstheme="minorHAnsi"/>
          <w:sz w:val="22"/>
          <w:szCs w:val="22"/>
        </w:rPr>
        <w:t xml:space="preserve">, en </w:t>
      </w:r>
      <w:r w:rsidR="00EA1481" w:rsidRPr="00657851">
        <w:rPr>
          <w:rFonts w:asciiTheme="minorHAnsi" w:hAnsiTheme="minorHAnsi" w:cstheme="minorHAnsi"/>
          <w:sz w:val="22"/>
          <w:szCs w:val="22"/>
        </w:rPr>
        <w:t>su caso, su posible encaje dentro d</w:t>
      </w:r>
      <w:r w:rsidR="001F4315" w:rsidRPr="00657851">
        <w:rPr>
          <w:rFonts w:asciiTheme="minorHAnsi" w:hAnsiTheme="minorHAnsi" w:cstheme="minorHAnsi"/>
          <w:sz w:val="22"/>
          <w:szCs w:val="22"/>
        </w:rPr>
        <w:t xml:space="preserve">el marco del </w:t>
      </w:r>
      <w:r w:rsidRPr="00657851">
        <w:rPr>
          <w:rFonts w:asciiTheme="minorHAnsi" w:hAnsiTheme="minorHAnsi" w:cstheme="minorHAnsi"/>
          <w:sz w:val="22"/>
          <w:szCs w:val="22"/>
        </w:rPr>
        <w:t xml:space="preserve">cumplimiento de </w:t>
      </w:r>
      <w:r w:rsidR="00667BF5" w:rsidRPr="00657851">
        <w:rPr>
          <w:rFonts w:asciiTheme="minorHAnsi" w:hAnsiTheme="minorHAnsi" w:cstheme="minorHAnsi"/>
          <w:sz w:val="22"/>
          <w:szCs w:val="22"/>
        </w:rPr>
        <w:t xml:space="preserve">los </w:t>
      </w:r>
      <w:r w:rsidRPr="00657851">
        <w:rPr>
          <w:rFonts w:asciiTheme="minorHAnsi" w:hAnsiTheme="minorHAnsi" w:cstheme="minorHAnsi"/>
          <w:sz w:val="22"/>
          <w:szCs w:val="22"/>
        </w:rPr>
        <w:t>requisitos</w:t>
      </w:r>
      <w:r w:rsidR="00453857" w:rsidRPr="00657851">
        <w:rPr>
          <w:rFonts w:asciiTheme="minorHAnsi" w:hAnsiTheme="minorHAnsi" w:cstheme="minorHAnsi"/>
          <w:sz w:val="22"/>
          <w:szCs w:val="22"/>
        </w:rPr>
        <w:t xml:space="preserve"> señalados en </w:t>
      </w:r>
      <w:r w:rsidR="00667BF5" w:rsidRPr="00657851">
        <w:rPr>
          <w:rFonts w:asciiTheme="minorHAnsi" w:hAnsiTheme="minorHAnsi" w:cstheme="minorHAnsi"/>
          <w:sz w:val="22"/>
          <w:szCs w:val="22"/>
        </w:rPr>
        <w:t xml:space="preserve">el apartado </w:t>
      </w:r>
      <w:r w:rsidR="00DE0A03" w:rsidRPr="00657851">
        <w:rPr>
          <w:rFonts w:asciiTheme="minorHAnsi" w:hAnsiTheme="minorHAnsi" w:cstheme="minorHAnsi"/>
          <w:sz w:val="22"/>
          <w:szCs w:val="22"/>
        </w:rPr>
        <w:t>6.1</w:t>
      </w:r>
      <w:r w:rsidR="00667BF5" w:rsidRPr="00657851">
        <w:rPr>
          <w:rFonts w:asciiTheme="minorHAnsi" w:hAnsiTheme="minorHAnsi" w:cstheme="minorHAnsi"/>
          <w:sz w:val="22"/>
          <w:szCs w:val="22"/>
        </w:rPr>
        <w:t xml:space="preserve"> del presente documento</w:t>
      </w:r>
      <w:r w:rsidR="00EA1481" w:rsidRPr="00657851">
        <w:rPr>
          <w:rFonts w:asciiTheme="minorHAnsi" w:hAnsiTheme="minorHAnsi" w:cstheme="minorHAnsi"/>
          <w:sz w:val="22"/>
          <w:szCs w:val="22"/>
        </w:rPr>
        <w:t xml:space="preserve">. </w:t>
      </w:r>
    </w:p>
    <w:p w14:paraId="24211DF9" w14:textId="07F757C3" w:rsidR="00050155" w:rsidRPr="00657851" w:rsidRDefault="00050155" w:rsidP="00E60225">
      <w:pPr>
        <w:pStyle w:val="Default"/>
        <w:spacing w:after="240" w:line="276" w:lineRule="auto"/>
        <w:jc w:val="both"/>
        <w:rPr>
          <w:rFonts w:asciiTheme="minorHAnsi" w:hAnsiTheme="minorHAnsi" w:cstheme="minorHAnsi"/>
          <w:szCs w:val="22"/>
        </w:rPr>
      </w:pPr>
      <w:r w:rsidRPr="00657851">
        <w:rPr>
          <w:rFonts w:asciiTheme="minorHAnsi" w:hAnsiTheme="minorHAnsi" w:cstheme="minorHAnsi"/>
          <w:sz w:val="22"/>
          <w:szCs w:val="22"/>
        </w:rPr>
        <w:t xml:space="preserve">La consideración de </w:t>
      </w:r>
      <w:r w:rsidR="001F4315" w:rsidRPr="00657851">
        <w:rPr>
          <w:rFonts w:asciiTheme="minorHAnsi" w:hAnsiTheme="minorHAnsi" w:cstheme="minorHAnsi"/>
          <w:sz w:val="22"/>
          <w:szCs w:val="22"/>
        </w:rPr>
        <w:t>pre</w:t>
      </w:r>
      <w:r w:rsidRPr="00657851">
        <w:rPr>
          <w:rFonts w:asciiTheme="minorHAnsi" w:hAnsiTheme="minorHAnsi" w:cstheme="minorHAnsi"/>
          <w:sz w:val="22"/>
          <w:szCs w:val="22"/>
        </w:rPr>
        <w:t xml:space="preserve">candidato no implica la participación definitiva en el IPCEI </w:t>
      </w:r>
      <w:r w:rsidR="00CF639E" w:rsidRPr="00657851">
        <w:rPr>
          <w:rFonts w:asciiTheme="minorHAnsi" w:hAnsiTheme="minorHAnsi" w:cstheme="minorHAnsi"/>
          <w:sz w:val="22"/>
          <w:szCs w:val="22"/>
        </w:rPr>
        <w:t>AST</w:t>
      </w:r>
      <w:r w:rsidR="00E60225" w:rsidRPr="00657851">
        <w:rPr>
          <w:rFonts w:asciiTheme="minorHAnsi" w:hAnsiTheme="minorHAnsi" w:cstheme="minorHAnsi"/>
          <w:sz w:val="22"/>
          <w:szCs w:val="22"/>
        </w:rPr>
        <w:t>, ni g</w:t>
      </w:r>
      <w:r w:rsidRPr="00657851">
        <w:rPr>
          <w:rFonts w:asciiTheme="minorHAnsi" w:hAnsiTheme="minorHAnsi" w:cstheme="minorHAnsi"/>
          <w:sz w:val="22"/>
          <w:szCs w:val="22"/>
        </w:rPr>
        <w:t xml:space="preserve">arantiza el acceso a financiación pública nacional </w:t>
      </w:r>
      <w:r w:rsidR="00E60225" w:rsidRPr="00657851">
        <w:rPr>
          <w:rFonts w:asciiTheme="minorHAnsi" w:hAnsiTheme="minorHAnsi" w:cstheme="minorHAnsi"/>
          <w:sz w:val="22"/>
          <w:szCs w:val="22"/>
        </w:rPr>
        <w:t xml:space="preserve">o europea </w:t>
      </w:r>
      <w:r w:rsidRPr="00657851">
        <w:rPr>
          <w:rFonts w:asciiTheme="minorHAnsi" w:hAnsiTheme="minorHAnsi" w:cstheme="minorHAnsi"/>
          <w:sz w:val="22"/>
          <w:szCs w:val="22"/>
        </w:rPr>
        <w:t>para las empresas participantes</w:t>
      </w:r>
      <w:r w:rsidRPr="00657851">
        <w:rPr>
          <w:rFonts w:asciiTheme="minorHAnsi" w:hAnsiTheme="minorHAnsi" w:cstheme="minorHAnsi"/>
          <w:szCs w:val="22"/>
        </w:rPr>
        <w:t>.</w:t>
      </w:r>
    </w:p>
    <w:p w14:paraId="21C5EEE8" w14:textId="32670326" w:rsidR="00050155" w:rsidRPr="00657851" w:rsidRDefault="00496A1E" w:rsidP="00785DB2">
      <w:pPr>
        <w:spacing w:line="276" w:lineRule="auto"/>
        <w:rPr>
          <w:rFonts w:asciiTheme="minorHAnsi" w:hAnsiTheme="minorHAnsi" w:cstheme="minorHAnsi"/>
          <w:szCs w:val="22"/>
        </w:rPr>
      </w:pPr>
      <w:r w:rsidRPr="00657851">
        <w:rPr>
          <w:rFonts w:asciiTheme="minorHAnsi" w:hAnsiTheme="minorHAnsi" w:cstheme="minorHAnsi"/>
          <w:szCs w:val="22"/>
        </w:rPr>
        <w:t>L</w:t>
      </w:r>
      <w:r w:rsidR="00050155" w:rsidRPr="00657851">
        <w:rPr>
          <w:rFonts w:asciiTheme="minorHAnsi" w:hAnsiTheme="minorHAnsi" w:cstheme="minorHAnsi"/>
          <w:szCs w:val="22"/>
        </w:rPr>
        <w:t xml:space="preserve">a </w:t>
      </w:r>
      <w:r w:rsidR="000963C7" w:rsidRPr="00657851">
        <w:rPr>
          <w:rFonts w:asciiTheme="minorHAnsi" w:hAnsiTheme="minorHAnsi" w:cstheme="minorHAnsi"/>
          <w:szCs w:val="22"/>
        </w:rPr>
        <w:t xml:space="preserve">participación en el proceso de preparación </w:t>
      </w:r>
      <w:r w:rsidR="00E60225" w:rsidRPr="00657851">
        <w:rPr>
          <w:rFonts w:asciiTheme="minorHAnsi" w:hAnsiTheme="minorHAnsi" w:cstheme="minorHAnsi"/>
          <w:szCs w:val="22"/>
        </w:rPr>
        <w:t xml:space="preserve">del </w:t>
      </w:r>
      <w:r w:rsidR="00050155" w:rsidRPr="00657851">
        <w:rPr>
          <w:rFonts w:asciiTheme="minorHAnsi" w:hAnsiTheme="minorHAnsi" w:cstheme="minorHAnsi"/>
          <w:szCs w:val="22"/>
        </w:rPr>
        <w:t xml:space="preserve">IPCEI </w:t>
      </w:r>
      <w:r w:rsidR="00CF639E" w:rsidRPr="00657851">
        <w:rPr>
          <w:rFonts w:asciiTheme="minorHAnsi" w:hAnsiTheme="minorHAnsi" w:cstheme="minorHAnsi"/>
          <w:szCs w:val="22"/>
        </w:rPr>
        <w:t>AST</w:t>
      </w:r>
      <w:r w:rsidR="00050155" w:rsidRPr="00657851">
        <w:rPr>
          <w:rFonts w:asciiTheme="minorHAnsi" w:hAnsiTheme="minorHAnsi" w:cstheme="minorHAnsi"/>
          <w:szCs w:val="22"/>
        </w:rPr>
        <w:t xml:space="preserve"> conlleva el compromiso por parte de l</w:t>
      </w:r>
      <w:r w:rsidR="00E60225" w:rsidRPr="00657851">
        <w:rPr>
          <w:rFonts w:asciiTheme="minorHAnsi" w:hAnsiTheme="minorHAnsi" w:cstheme="minorHAnsi"/>
          <w:szCs w:val="22"/>
        </w:rPr>
        <w:t xml:space="preserve">as empresas </w:t>
      </w:r>
      <w:r w:rsidR="00050155" w:rsidRPr="00657851">
        <w:rPr>
          <w:rFonts w:asciiTheme="minorHAnsi" w:hAnsiTheme="minorHAnsi" w:cstheme="minorHAnsi"/>
          <w:szCs w:val="22"/>
        </w:rPr>
        <w:t xml:space="preserve">participantes de presentar la documentación </w:t>
      </w:r>
      <w:r w:rsidR="001F4B4E" w:rsidRPr="00657851">
        <w:rPr>
          <w:rFonts w:asciiTheme="minorHAnsi" w:hAnsiTheme="minorHAnsi" w:cstheme="minorHAnsi"/>
          <w:szCs w:val="22"/>
        </w:rPr>
        <w:t xml:space="preserve">que se les solicite en cada momento </w:t>
      </w:r>
      <w:r w:rsidR="00050155" w:rsidRPr="00657851">
        <w:rPr>
          <w:rFonts w:asciiTheme="minorHAnsi" w:hAnsiTheme="minorHAnsi" w:cstheme="minorHAnsi"/>
          <w:szCs w:val="22"/>
        </w:rPr>
        <w:t xml:space="preserve">con el máximo rigor, de </w:t>
      </w:r>
      <w:r w:rsidR="00E60225" w:rsidRPr="00657851">
        <w:rPr>
          <w:rFonts w:asciiTheme="minorHAnsi" w:hAnsiTheme="minorHAnsi" w:cstheme="minorHAnsi"/>
          <w:szCs w:val="22"/>
        </w:rPr>
        <w:t>contribuir en</w:t>
      </w:r>
      <w:r w:rsidR="00050155" w:rsidRPr="00657851">
        <w:rPr>
          <w:rFonts w:asciiTheme="minorHAnsi" w:hAnsiTheme="minorHAnsi" w:cstheme="minorHAnsi"/>
          <w:szCs w:val="22"/>
        </w:rPr>
        <w:t xml:space="preserve"> </w:t>
      </w:r>
      <w:r w:rsidR="0035101F" w:rsidRPr="00657851">
        <w:rPr>
          <w:rFonts w:asciiTheme="minorHAnsi" w:hAnsiTheme="minorHAnsi" w:cstheme="minorHAnsi"/>
          <w:szCs w:val="22"/>
        </w:rPr>
        <w:t xml:space="preserve">las tareas de elaboración del </w:t>
      </w:r>
      <w:r w:rsidR="00DD670A">
        <w:rPr>
          <w:rFonts w:asciiTheme="minorHAnsi" w:hAnsiTheme="minorHAnsi" w:cstheme="minorHAnsi"/>
          <w:szCs w:val="22"/>
        </w:rPr>
        <w:t>“</w:t>
      </w:r>
      <w:proofErr w:type="spellStart"/>
      <w:r w:rsidR="00E60225" w:rsidRPr="00657851">
        <w:rPr>
          <w:rFonts w:asciiTheme="minorHAnsi" w:hAnsiTheme="minorHAnsi" w:cstheme="minorHAnsi"/>
          <w:szCs w:val="22"/>
        </w:rPr>
        <w:t>c</w:t>
      </w:r>
      <w:r w:rsidR="0035101F" w:rsidRPr="00657851">
        <w:rPr>
          <w:rFonts w:asciiTheme="minorHAnsi" w:hAnsiTheme="minorHAnsi" w:cstheme="minorHAnsi"/>
          <w:szCs w:val="22"/>
        </w:rPr>
        <w:t>hapeau</w:t>
      </w:r>
      <w:proofErr w:type="spellEnd"/>
      <w:r w:rsidR="0035101F" w:rsidRPr="00657851">
        <w:rPr>
          <w:rFonts w:asciiTheme="minorHAnsi" w:hAnsiTheme="minorHAnsi" w:cstheme="minorHAnsi"/>
          <w:szCs w:val="22"/>
        </w:rPr>
        <w:t xml:space="preserve"> </w:t>
      </w:r>
      <w:proofErr w:type="spellStart"/>
      <w:r w:rsidR="00E60225" w:rsidRPr="00657851">
        <w:rPr>
          <w:rFonts w:asciiTheme="minorHAnsi" w:hAnsiTheme="minorHAnsi" w:cstheme="minorHAnsi"/>
          <w:szCs w:val="22"/>
        </w:rPr>
        <w:t>t</w:t>
      </w:r>
      <w:r w:rsidR="0035101F" w:rsidRPr="00657851">
        <w:rPr>
          <w:rFonts w:asciiTheme="minorHAnsi" w:hAnsiTheme="minorHAnsi" w:cstheme="minorHAnsi"/>
          <w:szCs w:val="22"/>
        </w:rPr>
        <w:t>ext</w:t>
      </w:r>
      <w:proofErr w:type="spellEnd"/>
      <w:r w:rsidR="00DD670A">
        <w:rPr>
          <w:rFonts w:asciiTheme="minorHAnsi" w:hAnsiTheme="minorHAnsi" w:cstheme="minorHAnsi"/>
          <w:szCs w:val="22"/>
        </w:rPr>
        <w:t>”</w:t>
      </w:r>
      <w:r w:rsidR="00050155" w:rsidRPr="00657851">
        <w:rPr>
          <w:rFonts w:asciiTheme="minorHAnsi" w:hAnsiTheme="minorHAnsi" w:cstheme="minorHAnsi"/>
          <w:szCs w:val="22"/>
        </w:rPr>
        <w:t xml:space="preserve">, </w:t>
      </w:r>
      <w:r w:rsidR="00876593" w:rsidRPr="00657851">
        <w:rPr>
          <w:rFonts w:asciiTheme="minorHAnsi" w:hAnsiTheme="minorHAnsi" w:cstheme="minorHAnsi"/>
          <w:szCs w:val="22"/>
        </w:rPr>
        <w:t xml:space="preserve">así como </w:t>
      </w:r>
      <w:r w:rsidR="00164521" w:rsidRPr="00657851">
        <w:rPr>
          <w:rFonts w:asciiTheme="minorHAnsi" w:hAnsiTheme="minorHAnsi" w:cstheme="minorHAnsi"/>
          <w:szCs w:val="22"/>
        </w:rPr>
        <w:t xml:space="preserve">en </w:t>
      </w:r>
      <w:r w:rsidR="00050155" w:rsidRPr="00657851">
        <w:rPr>
          <w:rFonts w:asciiTheme="minorHAnsi" w:hAnsiTheme="minorHAnsi" w:cstheme="minorHAnsi"/>
          <w:szCs w:val="22"/>
        </w:rPr>
        <w:t>las actividades comunes del IPCEI durante todo su ciclo de vida</w:t>
      </w:r>
      <w:r w:rsidR="00164521" w:rsidRPr="00657851">
        <w:rPr>
          <w:rFonts w:asciiTheme="minorHAnsi" w:hAnsiTheme="minorHAnsi" w:cstheme="minorHAnsi"/>
          <w:szCs w:val="22"/>
        </w:rPr>
        <w:t>.</w:t>
      </w:r>
    </w:p>
    <w:p w14:paraId="5BEF3FD5" w14:textId="0C927328" w:rsidR="00050155" w:rsidRPr="00657851" w:rsidRDefault="00050155" w:rsidP="002F072C">
      <w:pPr>
        <w:pStyle w:val="Ttulo2"/>
        <w:numPr>
          <w:ilvl w:val="1"/>
          <w:numId w:val="1"/>
        </w:numPr>
        <w:jc w:val="both"/>
        <w:rPr>
          <w:rFonts w:asciiTheme="minorHAnsi" w:hAnsiTheme="minorHAnsi" w:cstheme="minorHAnsi"/>
          <w:sz w:val="22"/>
          <w:szCs w:val="22"/>
        </w:rPr>
      </w:pPr>
      <w:r w:rsidRPr="00657851">
        <w:rPr>
          <w:rFonts w:asciiTheme="minorHAnsi" w:hAnsiTheme="minorHAnsi" w:cstheme="minorHAnsi"/>
          <w:sz w:val="22"/>
          <w:szCs w:val="22"/>
        </w:rPr>
        <w:t xml:space="preserve">Características </w:t>
      </w:r>
      <w:r w:rsidR="002F072C" w:rsidRPr="00657851">
        <w:rPr>
          <w:rFonts w:asciiTheme="minorHAnsi" w:hAnsiTheme="minorHAnsi" w:cstheme="minorHAnsi"/>
          <w:sz w:val="22"/>
          <w:szCs w:val="22"/>
        </w:rPr>
        <w:t xml:space="preserve">de los </w:t>
      </w:r>
      <w:r w:rsidRPr="00657851">
        <w:rPr>
          <w:rFonts w:asciiTheme="minorHAnsi" w:hAnsiTheme="minorHAnsi" w:cstheme="minorHAnsi"/>
          <w:sz w:val="22"/>
          <w:szCs w:val="22"/>
        </w:rPr>
        <w:t>proyectos</w:t>
      </w:r>
      <w:r w:rsidR="00123175" w:rsidRPr="00657851">
        <w:rPr>
          <w:rFonts w:asciiTheme="minorHAnsi" w:hAnsiTheme="minorHAnsi" w:cstheme="minorHAnsi"/>
          <w:sz w:val="22"/>
          <w:szCs w:val="22"/>
        </w:rPr>
        <w:t xml:space="preserve"> </w:t>
      </w:r>
      <w:r w:rsidR="002F072C" w:rsidRPr="00657851">
        <w:rPr>
          <w:rFonts w:asciiTheme="minorHAnsi" w:hAnsiTheme="minorHAnsi" w:cstheme="minorHAnsi"/>
          <w:sz w:val="22"/>
          <w:szCs w:val="22"/>
        </w:rPr>
        <w:t>a presentar</w:t>
      </w:r>
    </w:p>
    <w:p w14:paraId="0EEDCA47" w14:textId="1C49C258" w:rsidR="00050155" w:rsidRPr="00657851" w:rsidRDefault="00050155" w:rsidP="002B6F89">
      <w:pPr>
        <w:spacing w:line="276" w:lineRule="auto"/>
        <w:rPr>
          <w:rFonts w:asciiTheme="minorHAnsi" w:hAnsiTheme="minorHAnsi" w:cstheme="minorHAnsi"/>
          <w:szCs w:val="22"/>
        </w:rPr>
      </w:pPr>
      <w:r w:rsidRPr="00657851">
        <w:rPr>
          <w:rFonts w:asciiTheme="minorHAnsi" w:hAnsiTheme="minorHAnsi" w:cstheme="minorHAnsi"/>
          <w:szCs w:val="22"/>
        </w:rPr>
        <w:t xml:space="preserve">Las empresas pueden presentar sus propuestas libremente en el contexto de esta iniciativa. Las características y condiciones exigidas aplicables a los proyectos que conformarán el IPCEI </w:t>
      </w:r>
      <w:r w:rsidR="00CF639E" w:rsidRPr="00657851">
        <w:rPr>
          <w:rFonts w:asciiTheme="minorHAnsi" w:hAnsiTheme="minorHAnsi" w:cstheme="minorHAnsi"/>
          <w:szCs w:val="22"/>
        </w:rPr>
        <w:t>AST</w:t>
      </w:r>
      <w:r w:rsidR="00123175" w:rsidRPr="00657851">
        <w:rPr>
          <w:rFonts w:asciiTheme="minorHAnsi" w:hAnsiTheme="minorHAnsi" w:cstheme="minorHAnsi"/>
          <w:szCs w:val="22"/>
        </w:rPr>
        <w:t xml:space="preserve"> </w:t>
      </w:r>
      <w:r w:rsidRPr="00657851">
        <w:rPr>
          <w:rFonts w:asciiTheme="minorHAnsi" w:hAnsiTheme="minorHAnsi" w:cstheme="minorHAnsi"/>
          <w:szCs w:val="22"/>
        </w:rPr>
        <w:t>se regirán por lo dispuesto en la normativa aplicable y directrices oficiales relativa</w:t>
      </w:r>
      <w:r w:rsidR="002F072C" w:rsidRPr="00657851">
        <w:rPr>
          <w:rFonts w:asciiTheme="minorHAnsi" w:hAnsiTheme="minorHAnsi" w:cstheme="minorHAnsi"/>
          <w:szCs w:val="22"/>
        </w:rPr>
        <w:t>s</w:t>
      </w:r>
      <w:r w:rsidRPr="00657851">
        <w:rPr>
          <w:rFonts w:asciiTheme="minorHAnsi" w:hAnsiTheme="minorHAnsi" w:cstheme="minorHAnsi"/>
          <w:szCs w:val="22"/>
        </w:rPr>
        <w:t xml:space="preserve"> a los Proyectos Importantes de Interés Común Europeo (IPCEI) y, en particular, por los siguientes documentos de referencia:</w:t>
      </w:r>
    </w:p>
    <w:p w14:paraId="5375BE10" w14:textId="6BB18627" w:rsidR="00050155" w:rsidRPr="00657851" w:rsidRDefault="00050155" w:rsidP="002F072C">
      <w:pPr>
        <w:pStyle w:val="Prrafodelista"/>
        <w:numPr>
          <w:ilvl w:val="0"/>
          <w:numId w:val="3"/>
        </w:numPr>
        <w:spacing w:after="0" w:line="276" w:lineRule="auto"/>
        <w:rPr>
          <w:rFonts w:asciiTheme="minorHAnsi" w:hAnsiTheme="minorHAnsi" w:cstheme="minorHAnsi"/>
          <w:szCs w:val="22"/>
        </w:rPr>
      </w:pPr>
      <w:r w:rsidRPr="00657851">
        <w:rPr>
          <w:rFonts w:asciiTheme="minorHAnsi" w:hAnsiTheme="minorHAnsi" w:cstheme="minorHAnsi"/>
          <w:szCs w:val="22"/>
        </w:rPr>
        <w:lastRenderedPageBreak/>
        <w:t xml:space="preserve">Comunicación de la Comisión: Criterios para el análisis de la compatibilidad con el mercado interior de las ayudas para fomentar la realización de proyectos importantes de interés común europeo </w:t>
      </w:r>
      <w:hyperlink r:id="rId15" w:history="1">
        <w:r w:rsidRPr="00657851">
          <w:rPr>
            <w:rStyle w:val="Hipervnculo"/>
            <w:rFonts w:asciiTheme="minorHAnsi" w:hAnsiTheme="minorHAnsi" w:cstheme="minorHAnsi"/>
            <w:szCs w:val="22"/>
          </w:rPr>
          <w:t>(2021/C 528/02)</w:t>
        </w:r>
      </w:hyperlink>
      <w:r w:rsidR="009D33E1" w:rsidRPr="00657851">
        <w:rPr>
          <w:rFonts w:asciiTheme="minorHAnsi" w:hAnsiTheme="minorHAnsi" w:cstheme="minorHAnsi"/>
          <w:szCs w:val="22"/>
        </w:rPr>
        <w:t>.</w:t>
      </w:r>
    </w:p>
    <w:p w14:paraId="67095576" w14:textId="0200A63A" w:rsidR="00050155" w:rsidRPr="00657851" w:rsidRDefault="00050155" w:rsidP="002F072C">
      <w:pPr>
        <w:pStyle w:val="Prrafodelista"/>
        <w:numPr>
          <w:ilvl w:val="0"/>
          <w:numId w:val="3"/>
        </w:numPr>
        <w:spacing w:after="0" w:line="276" w:lineRule="auto"/>
        <w:rPr>
          <w:rFonts w:asciiTheme="minorHAnsi" w:hAnsiTheme="minorHAnsi" w:cstheme="minorHAnsi"/>
          <w:szCs w:val="22"/>
          <w:lang w:val="en-GB"/>
        </w:rPr>
      </w:pPr>
      <w:r w:rsidRPr="00657851">
        <w:rPr>
          <w:rFonts w:asciiTheme="minorHAnsi" w:hAnsiTheme="minorHAnsi" w:cstheme="minorHAnsi"/>
          <w:szCs w:val="22"/>
          <w:lang w:val="en-GB"/>
        </w:rPr>
        <w:t xml:space="preserve">Guía Técnica del JEF (Joint European Forum): Participating in an Important Project of Common European Interest - Technical guidance on conditions and process </w:t>
      </w:r>
      <w:hyperlink r:id="rId16" w:history="1">
        <w:r w:rsidRPr="00657851">
          <w:rPr>
            <w:rStyle w:val="Hipervnculo"/>
            <w:rFonts w:asciiTheme="minorHAnsi" w:hAnsiTheme="minorHAnsi" w:cstheme="minorHAnsi"/>
            <w:szCs w:val="22"/>
            <w:lang w:val="en-GB"/>
          </w:rPr>
          <w:t>(Guía Técnica)</w:t>
        </w:r>
        <w:r w:rsidR="009D33E1" w:rsidRPr="00657851">
          <w:rPr>
            <w:rStyle w:val="Hipervnculo"/>
            <w:rFonts w:asciiTheme="minorHAnsi" w:hAnsiTheme="minorHAnsi" w:cstheme="minorHAnsi"/>
            <w:szCs w:val="22"/>
            <w:lang w:val="en-GB"/>
          </w:rPr>
          <w:t>.</w:t>
        </w:r>
      </w:hyperlink>
    </w:p>
    <w:p w14:paraId="6C206E0D" w14:textId="6F815FD4" w:rsidR="00050155" w:rsidRPr="00657851" w:rsidRDefault="00050155" w:rsidP="002F072C">
      <w:pPr>
        <w:pStyle w:val="Prrafodelista"/>
        <w:numPr>
          <w:ilvl w:val="0"/>
          <w:numId w:val="3"/>
        </w:numPr>
        <w:spacing w:after="0" w:line="276" w:lineRule="auto"/>
        <w:rPr>
          <w:rFonts w:asciiTheme="minorHAnsi" w:hAnsiTheme="minorHAnsi" w:cstheme="minorHAnsi"/>
          <w:szCs w:val="22"/>
          <w:lang w:val="en-GB"/>
        </w:rPr>
      </w:pPr>
      <w:proofErr w:type="spellStart"/>
      <w:r w:rsidRPr="00657851">
        <w:rPr>
          <w:rFonts w:asciiTheme="minorHAnsi" w:hAnsiTheme="minorHAnsi" w:cstheme="minorHAnsi"/>
          <w:szCs w:val="22"/>
          <w:lang w:val="en-GB"/>
        </w:rPr>
        <w:t>Recomendación</w:t>
      </w:r>
      <w:proofErr w:type="spellEnd"/>
      <w:r w:rsidRPr="00657851">
        <w:rPr>
          <w:rFonts w:asciiTheme="minorHAnsi" w:hAnsiTheme="minorHAnsi" w:cstheme="minorHAnsi"/>
          <w:szCs w:val="22"/>
          <w:lang w:val="en-GB"/>
        </w:rPr>
        <w:t xml:space="preserve"> del JEF (Joint European Forum): Recommendation of the Joint European Forum for Important Projects of Common European Interest on the roles of associated and indirect partners in an IPCEI ecosystem </w:t>
      </w:r>
      <w:hyperlink r:id="rId17" w:history="1">
        <w:r w:rsidRPr="00657851">
          <w:rPr>
            <w:rStyle w:val="Hipervnculo"/>
            <w:rFonts w:asciiTheme="minorHAnsi" w:hAnsiTheme="minorHAnsi" w:cstheme="minorHAnsi"/>
            <w:szCs w:val="22"/>
            <w:lang w:val="en-GB"/>
          </w:rPr>
          <w:t>(</w:t>
        </w:r>
        <w:proofErr w:type="spellStart"/>
        <w:r w:rsidRPr="00657851">
          <w:rPr>
            <w:rStyle w:val="Hipervnculo"/>
            <w:rFonts w:asciiTheme="minorHAnsi" w:hAnsiTheme="minorHAnsi" w:cstheme="minorHAnsi"/>
            <w:szCs w:val="22"/>
            <w:lang w:val="en-GB"/>
          </w:rPr>
          <w:t>Recomendación</w:t>
        </w:r>
        <w:proofErr w:type="spellEnd"/>
        <w:r w:rsidRPr="00657851">
          <w:rPr>
            <w:rStyle w:val="Hipervnculo"/>
            <w:rFonts w:asciiTheme="minorHAnsi" w:hAnsiTheme="minorHAnsi" w:cstheme="minorHAnsi"/>
            <w:szCs w:val="22"/>
            <w:lang w:val="en-GB"/>
          </w:rPr>
          <w:t>)</w:t>
        </w:r>
        <w:r w:rsidR="009D33E1" w:rsidRPr="00657851">
          <w:rPr>
            <w:rStyle w:val="Hipervnculo"/>
            <w:rFonts w:asciiTheme="minorHAnsi" w:hAnsiTheme="minorHAnsi" w:cstheme="minorHAnsi"/>
            <w:szCs w:val="22"/>
            <w:lang w:val="en-GB"/>
          </w:rPr>
          <w:t>.</w:t>
        </w:r>
      </w:hyperlink>
    </w:p>
    <w:p w14:paraId="00658FB7" w14:textId="2A7DF87F" w:rsidR="00FE1154" w:rsidRPr="00FE1154" w:rsidRDefault="00FE1154" w:rsidP="00FE1154">
      <w:pPr>
        <w:pStyle w:val="Prrafodelista"/>
        <w:numPr>
          <w:ilvl w:val="0"/>
          <w:numId w:val="3"/>
        </w:numPr>
        <w:spacing w:after="0" w:line="276" w:lineRule="auto"/>
        <w:rPr>
          <w:rFonts w:asciiTheme="minorHAnsi" w:hAnsiTheme="minorHAnsi" w:cstheme="minorHAnsi"/>
          <w:szCs w:val="22"/>
        </w:rPr>
      </w:pPr>
      <w:bookmarkStart w:id="0" w:name="_Hlk228520765"/>
      <w:r>
        <w:rPr>
          <w:rFonts w:asciiTheme="minorHAnsi" w:hAnsiTheme="minorHAnsi" w:cstheme="minorHAnsi"/>
          <w:szCs w:val="22"/>
          <w:lang w:val="es-ES"/>
        </w:rPr>
        <w:t>“</w:t>
      </w:r>
      <w:r w:rsidR="00A21772" w:rsidRPr="00FE1154">
        <w:rPr>
          <w:rFonts w:asciiTheme="minorHAnsi" w:hAnsiTheme="minorHAnsi" w:cstheme="minorHAnsi"/>
          <w:szCs w:val="22"/>
          <w:lang w:val="es-ES"/>
        </w:rPr>
        <w:t xml:space="preserve">IPCEI </w:t>
      </w:r>
      <w:r w:rsidR="00F80096" w:rsidRPr="00FE1154">
        <w:rPr>
          <w:rFonts w:asciiTheme="minorHAnsi" w:hAnsiTheme="minorHAnsi" w:cstheme="minorHAnsi"/>
          <w:szCs w:val="22"/>
          <w:lang w:val="es-ES"/>
        </w:rPr>
        <w:t>AST</w:t>
      </w:r>
      <w:r w:rsidR="00A21772" w:rsidRPr="00FE1154">
        <w:rPr>
          <w:rFonts w:asciiTheme="minorHAnsi" w:hAnsiTheme="minorHAnsi" w:cstheme="minorHAnsi"/>
          <w:szCs w:val="22"/>
          <w:lang w:val="es-ES"/>
        </w:rPr>
        <w:t xml:space="preserve"> </w:t>
      </w:r>
      <w:r w:rsidR="00CA7B9E" w:rsidRPr="00FE1154">
        <w:rPr>
          <w:rFonts w:asciiTheme="minorHAnsi" w:hAnsiTheme="minorHAnsi" w:cstheme="minorHAnsi"/>
          <w:szCs w:val="22"/>
          <w:lang w:val="es-ES"/>
        </w:rPr>
        <w:t>central narrative</w:t>
      </w:r>
      <w:r>
        <w:rPr>
          <w:rFonts w:asciiTheme="minorHAnsi" w:hAnsiTheme="minorHAnsi" w:cstheme="minorHAnsi"/>
          <w:szCs w:val="22"/>
          <w:lang w:val="es-ES"/>
        </w:rPr>
        <w:t>”</w:t>
      </w:r>
      <w:r w:rsidR="00F16FB4" w:rsidRPr="00FE1154">
        <w:rPr>
          <w:rFonts w:asciiTheme="minorHAnsi" w:hAnsiTheme="minorHAnsi" w:cstheme="minorHAnsi"/>
          <w:szCs w:val="22"/>
          <w:lang w:val="es-ES"/>
        </w:rPr>
        <w:t>.</w:t>
      </w:r>
      <w:bookmarkEnd w:id="0"/>
    </w:p>
    <w:p w14:paraId="6167DA2F" w14:textId="77777777" w:rsidR="00FE1154" w:rsidRPr="00FE1154" w:rsidRDefault="00FE1154" w:rsidP="00FE1154">
      <w:pPr>
        <w:pStyle w:val="Prrafodelista"/>
        <w:spacing w:after="0" w:line="276" w:lineRule="auto"/>
        <w:ind w:left="360"/>
        <w:rPr>
          <w:rFonts w:asciiTheme="minorHAnsi" w:hAnsiTheme="minorHAnsi" w:cstheme="minorHAnsi"/>
          <w:szCs w:val="22"/>
        </w:rPr>
      </w:pPr>
    </w:p>
    <w:p w14:paraId="551F7972" w14:textId="77FEADFC" w:rsidR="00050155" w:rsidRPr="00657851" w:rsidRDefault="005B75CE" w:rsidP="002F072C">
      <w:pPr>
        <w:pStyle w:val="Ttulo2"/>
        <w:numPr>
          <w:ilvl w:val="1"/>
          <w:numId w:val="1"/>
        </w:numPr>
        <w:jc w:val="both"/>
        <w:rPr>
          <w:rFonts w:asciiTheme="minorHAnsi" w:hAnsiTheme="minorHAnsi" w:cstheme="minorHAnsi"/>
          <w:sz w:val="22"/>
          <w:szCs w:val="22"/>
        </w:rPr>
      </w:pPr>
      <w:proofErr w:type="gramStart"/>
      <w:r w:rsidRPr="00657851">
        <w:rPr>
          <w:rFonts w:asciiTheme="minorHAnsi" w:hAnsiTheme="minorHAnsi" w:cstheme="minorHAnsi"/>
          <w:sz w:val="22"/>
          <w:szCs w:val="22"/>
        </w:rPr>
        <w:t xml:space="preserve">Documentación a </w:t>
      </w:r>
      <w:r w:rsidR="00051899" w:rsidRPr="00657851">
        <w:rPr>
          <w:rFonts w:asciiTheme="minorHAnsi" w:hAnsiTheme="minorHAnsi" w:cstheme="minorHAnsi"/>
          <w:sz w:val="22"/>
          <w:szCs w:val="22"/>
        </w:rPr>
        <w:t>presentar</w:t>
      </w:r>
      <w:proofErr w:type="gramEnd"/>
      <w:r w:rsidR="00051899" w:rsidRPr="00657851">
        <w:rPr>
          <w:rFonts w:asciiTheme="minorHAnsi" w:hAnsiTheme="minorHAnsi" w:cstheme="minorHAnsi"/>
          <w:sz w:val="22"/>
          <w:szCs w:val="22"/>
        </w:rPr>
        <w:t xml:space="preserve"> </w:t>
      </w:r>
    </w:p>
    <w:p w14:paraId="0B82C7DE" w14:textId="0F8FFFBE" w:rsidR="005B75CE" w:rsidRPr="00657851" w:rsidRDefault="00051899" w:rsidP="002B6F89">
      <w:pPr>
        <w:spacing w:line="276" w:lineRule="auto"/>
        <w:rPr>
          <w:rFonts w:asciiTheme="minorHAnsi" w:hAnsiTheme="minorHAnsi" w:cstheme="minorHAnsi"/>
          <w:szCs w:val="22"/>
        </w:rPr>
      </w:pPr>
      <w:r w:rsidRPr="00657851">
        <w:rPr>
          <w:rFonts w:asciiTheme="minorHAnsi" w:hAnsiTheme="minorHAnsi" w:cstheme="minorHAnsi"/>
          <w:szCs w:val="22"/>
        </w:rPr>
        <w:t>L</w:t>
      </w:r>
      <w:r w:rsidR="00F84177" w:rsidRPr="00657851">
        <w:rPr>
          <w:rFonts w:asciiTheme="minorHAnsi" w:hAnsiTheme="minorHAnsi" w:cstheme="minorHAnsi"/>
          <w:szCs w:val="22"/>
        </w:rPr>
        <w:t xml:space="preserve">as empresas </w:t>
      </w:r>
      <w:r w:rsidRPr="00657851">
        <w:rPr>
          <w:rFonts w:asciiTheme="minorHAnsi" w:hAnsiTheme="minorHAnsi" w:cstheme="minorHAnsi"/>
          <w:szCs w:val="22"/>
        </w:rPr>
        <w:t xml:space="preserve">interesadas en formar parte del IPCEI </w:t>
      </w:r>
      <w:r w:rsidR="003710D2">
        <w:rPr>
          <w:rFonts w:asciiTheme="minorHAnsi" w:hAnsiTheme="minorHAnsi" w:cstheme="minorHAnsi"/>
          <w:szCs w:val="22"/>
        </w:rPr>
        <w:t>AST</w:t>
      </w:r>
      <w:r w:rsidRPr="00657851">
        <w:rPr>
          <w:rFonts w:asciiTheme="minorHAnsi" w:hAnsiTheme="minorHAnsi" w:cstheme="minorHAnsi"/>
          <w:szCs w:val="22"/>
        </w:rPr>
        <w:t xml:space="preserve"> </w:t>
      </w:r>
      <w:r w:rsidR="00E75B4A" w:rsidRPr="00657851">
        <w:rPr>
          <w:rFonts w:asciiTheme="minorHAnsi" w:hAnsiTheme="minorHAnsi" w:cstheme="minorHAnsi"/>
          <w:szCs w:val="22"/>
        </w:rPr>
        <w:t xml:space="preserve">deberán </w:t>
      </w:r>
      <w:r w:rsidR="00F84177" w:rsidRPr="00657851">
        <w:rPr>
          <w:rFonts w:asciiTheme="minorHAnsi" w:hAnsiTheme="minorHAnsi" w:cstheme="minorHAnsi"/>
          <w:szCs w:val="22"/>
        </w:rPr>
        <w:t>presentar</w:t>
      </w:r>
      <w:r w:rsidR="00E75B4A" w:rsidRPr="00657851">
        <w:rPr>
          <w:rFonts w:asciiTheme="minorHAnsi" w:hAnsiTheme="minorHAnsi" w:cstheme="minorHAnsi"/>
          <w:szCs w:val="22"/>
        </w:rPr>
        <w:t xml:space="preserve"> una m</w:t>
      </w:r>
      <w:r w:rsidR="005B75CE" w:rsidRPr="00657851">
        <w:rPr>
          <w:rFonts w:asciiTheme="minorHAnsi" w:hAnsiTheme="minorHAnsi" w:cstheme="minorHAnsi"/>
          <w:szCs w:val="22"/>
        </w:rPr>
        <w:t xml:space="preserve">emoria </w:t>
      </w:r>
      <w:r w:rsidR="00B4287E" w:rsidRPr="00657851">
        <w:rPr>
          <w:rFonts w:asciiTheme="minorHAnsi" w:hAnsiTheme="minorHAnsi" w:cstheme="minorHAnsi"/>
          <w:szCs w:val="22"/>
        </w:rPr>
        <w:t xml:space="preserve">técnica </w:t>
      </w:r>
      <w:r w:rsidR="005B75CE" w:rsidRPr="00657851">
        <w:rPr>
          <w:rFonts w:asciiTheme="minorHAnsi" w:hAnsiTheme="minorHAnsi" w:cstheme="minorHAnsi"/>
          <w:szCs w:val="22"/>
        </w:rPr>
        <w:t>del proyecto</w:t>
      </w:r>
      <w:r w:rsidR="00E75B4A" w:rsidRPr="00657851">
        <w:rPr>
          <w:rFonts w:asciiTheme="minorHAnsi" w:hAnsiTheme="minorHAnsi" w:cstheme="minorHAnsi"/>
          <w:szCs w:val="22"/>
        </w:rPr>
        <w:t xml:space="preserve"> con el que implementar dicha participación</w:t>
      </w:r>
      <w:r w:rsidR="005030C7" w:rsidRPr="00657851">
        <w:rPr>
          <w:rFonts w:asciiTheme="minorHAnsi" w:hAnsiTheme="minorHAnsi" w:cstheme="minorHAnsi"/>
          <w:szCs w:val="22"/>
        </w:rPr>
        <w:t xml:space="preserve"> </w:t>
      </w:r>
      <w:r w:rsidR="00E75B4A" w:rsidRPr="00657851">
        <w:rPr>
          <w:rFonts w:asciiTheme="minorHAnsi" w:hAnsiTheme="minorHAnsi" w:cstheme="minorHAnsi"/>
          <w:szCs w:val="22"/>
        </w:rPr>
        <w:t xml:space="preserve">de acuerdo con </w:t>
      </w:r>
      <w:r w:rsidR="005030C7" w:rsidRPr="00657851">
        <w:rPr>
          <w:rFonts w:asciiTheme="minorHAnsi" w:hAnsiTheme="minorHAnsi" w:cstheme="minorHAnsi"/>
          <w:szCs w:val="22"/>
        </w:rPr>
        <w:t>los</w:t>
      </w:r>
      <w:r w:rsidR="005B75CE" w:rsidRPr="00657851">
        <w:rPr>
          <w:rFonts w:asciiTheme="minorHAnsi" w:hAnsiTheme="minorHAnsi" w:cstheme="minorHAnsi"/>
          <w:szCs w:val="22"/>
        </w:rPr>
        <w:t xml:space="preserve"> </w:t>
      </w:r>
      <w:r w:rsidR="005030C7" w:rsidRPr="00657851">
        <w:rPr>
          <w:rFonts w:asciiTheme="minorHAnsi" w:hAnsiTheme="minorHAnsi" w:cstheme="minorHAnsi"/>
          <w:szCs w:val="22"/>
        </w:rPr>
        <w:t xml:space="preserve">siguientes </w:t>
      </w:r>
      <w:r w:rsidR="005B75CE" w:rsidRPr="00657851">
        <w:rPr>
          <w:rFonts w:asciiTheme="minorHAnsi" w:hAnsiTheme="minorHAnsi" w:cstheme="minorHAnsi"/>
          <w:szCs w:val="22"/>
        </w:rPr>
        <w:t>formato</w:t>
      </w:r>
      <w:r w:rsidR="005030C7" w:rsidRPr="00657851">
        <w:rPr>
          <w:rFonts w:asciiTheme="minorHAnsi" w:hAnsiTheme="minorHAnsi" w:cstheme="minorHAnsi"/>
          <w:szCs w:val="22"/>
        </w:rPr>
        <w:t>s:</w:t>
      </w:r>
    </w:p>
    <w:p w14:paraId="5E58E6D8" w14:textId="494AB969" w:rsidR="005B75CE" w:rsidRPr="00657851" w:rsidRDefault="005B75CE" w:rsidP="002F072C">
      <w:pPr>
        <w:pStyle w:val="Prrafodelista"/>
        <w:numPr>
          <w:ilvl w:val="0"/>
          <w:numId w:val="2"/>
        </w:numPr>
        <w:spacing w:after="0" w:line="276" w:lineRule="auto"/>
        <w:rPr>
          <w:rFonts w:asciiTheme="minorHAnsi" w:hAnsiTheme="minorHAnsi" w:cstheme="minorHAnsi"/>
          <w:szCs w:val="22"/>
        </w:rPr>
      </w:pPr>
      <w:r w:rsidRPr="00657851">
        <w:rPr>
          <w:rFonts w:asciiTheme="minorHAnsi" w:hAnsiTheme="minorHAnsi" w:cstheme="minorHAnsi"/>
          <w:szCs w:val="22"/>
        </w:rPr>
        <w:t>Plantilla_Solicitud_</w:t>
      </w:r>
      <w:r w:rsidR="00692F95">
        <w:rPr>
          <w:rFonts w:asciiTheme="minorHAnsi" w:hAnsiTheme="minorHAnsi" w:cstheme="minorHAnsi"/>
          <w:szCs w:val="22"/>
        </w:rPr>
        <w:t>AST_</w:t>
      </w:r>
      <w:r w:rsidRPr="00657851">
        <w:rPr>
          <w:rFonts w:asciiTheme="minorHAnsi" w:hAnsiTheme="minorHAnsi" w:cstheme="minorHAnsi"/>
          <w:szCs w:val="22"/>
        </w:rPr>
        <w:t>ES.docx</w:t>
      </w:r>
    </w:p>
    <w:p w14:paraId="139CE5A1" w14:textId="1CD0676F" w:rsidR="005B75CE" w:rsidRPr="00657851" w:rsidRDefault="005B75CE" w:rsidP="002F072C">
      <w:pPr>
        <w:pStyle w:val="Prrafodelista"/>
        <w:numPr>
          <w:ilvl w:val="0"/>
          <w:numId w:val="2"/>
        </w:numPr>
        <w:spacing w:line="276" w:lineRule="auto"/>
        <w:rPr>
          <w:rFonts w:asciiTheme="minorHAnsi" w:hAnsiTheme="minorHAnsi" w:cstheme="minorHAnsi"/>
          <w:szCs w:val="22"/>
        </w:rPr>
      </w:pPr>
      <w:r w:rsidRPr="00657851">
        <w:rPr>
          <w:rFonts w:asciiTheme="minorHAnsi" w:hAnsiTheme="minorHAnsi" w:cstheme="minorHAnsi"/>
          <w:szCs w:val="22"/>
        </w:rPr>
        <w:t>Plantilla_Solicitud_</w:t>
      </w:r>
      <w:r w:rsidR="00692F95">
        <w:rPr>
          <w:rFonts w:asciiTheme="minorHAnsi" w:hAnsiTheme="minorHAnsi" w:cstheme="minorHAnsi"/>
          <w:szCs w:val="22"/>
        </w:rPr>
        <w:t>AST_</w:t>
      </w:r>
      <w:r w:rsidRPr="00657851">
        <w:rPr>
          <w:rFonts w:asciiTheme="minorHAnsi" w:hAnsiTheme="minorHAnsi" w:cstheme="minorHAnsi"/>
          <w:szCs w:val="22"/>
        </w:rPr>
        <w:t>EN.docx</w:t>
      </w:r>
    </w:p>
    <w:p w14:paraId="1C9979BB" w14:textId="4613767D" w:rsidR="005B75CE" w:rsidRPr="00657851" w:rsidRDefault="005B75CE" w:rsidP="002B6F89">
      <w:pPr>
        <w:spacing w:line="276" w:lineRule="auto"/>
        <w:rPr>
          <w:rFonts w:asciiTheme="minorHAnsi" w:hAnsiTheme="minorHAnsi" w:cstheme="minorHAnsi"/>
          <w:szCs w:val="22"/>
        </w:rPr>
      </w:pPr>
      <w:r w:rsidRPr="00657851">
        <w:rPr>
          <w:rFonts w:asciiTheme="minorHAnsi" w:hAnsiTheme="minorHAnsi" w:cstheme="minorHAnsi"/>
          <w:szCs w:val="22"/>
        </w:rPr>
        <w:t xml:space="preserve">Los participantes </w:t>
      </w:r>
      <w:r w:rsidRPr="00657851">
        <w:rPr>
          <w:rFonts w:asciiTheme="minorHAnsi" w:hAnsiTheme="minorHAnsi" w:cstheme="minorHAnsi"/>
          <w:b/>
          <w:bCs/>
          <w:szCs w:val="22"/>
        </w:rPr>
        <w:t>deberán completar ambas plantillas</w:t>
      </w:r>
      <w:r w:rsidRPr="00657851">
        <w:rPr>
          <w:rFonts w:asciiTheme="minorHAnsi" w:hAnsiTheme="minorHAnsi" w:cstheme="minorHAnsi"/>
          <w:szCs w:val="22"/>
        </w:rPr>
        <w:t>, en español y en inglés, en documentos independientes, asegurándose de que ambas versiones sean traducciones literales entre sí, manteniendo exactamente el mismo contenido en ambas lenguas.</w:t>
      </w:r>
      <w:r w:rsidR="00224455" w:rsidRPr="00657851">
        <w:rPr>
          <w:rFonts w:asciiTheme="minorHAnsi" w:hAnsiTheme="minorHAnsi" w:cstheme="minorHAnsi"/>
          <w:szCs w:val="22"/>
        </w:rPr>
        <w:t xml:space="preserve"> En todo caso, </w:t>
      </w:r>
      <w:r w:rsidR="00B4287E" w:rsidRPr="00657851">
        <w:rPr>
          <w:rFonts w:asciiTheme="minorHAnsi" w:hAnsiTheme="minorHAnsi" w:cstheme="minorHAnsi"/>
          <w:szCs w:val="22"/>
        </w:rPr>
        <w:t>se considerará</w:t>
      </w:r>
      <w:r w:rsidR="00224455" w:rsidRPr="00657851">
        <w:rPr>
          <w:rFonts w:asciiTheme="minorHAnsi" w:hAnsiTheme="minorHAnsi" w:cstheme="minorHAnsi"/>
          <w:szCs w:val="22"/>
        </w:rPr>
        <w:t xml:space="preserve"> la versión en inglés </w:t>
      </w:r>
      <w:r w:rsidR="00B4287E" w:rsidRPr="00657851">
        <w:rPr>
          <w:rFonts w:asciiTheme="minorHAnsi" w:hAnsiTheme="minorHAnsi" w:cstheme="minorHAnsi"/>
          <w:szCs w:val="22"/>
        </w:rPr>
        <w:t>como la de</w:t>
      </w:r>
      <w:r w:rsidR="00224455" w:rsidRPr="00657851">
        <w:rPr>
          <w:rFonts w:asciiTheme="minorHAnsi" w:hAnsiTheme="minorHAnsi" w:cstheme="minorHAnsi"/>
          <w:szCs w:val="22"/>
        </w:rPr>
        <w:t xml:space="preserve"> referencia.</w:t>
      </w:r>
      <w:r w:rsidRPr="00657851">
        <w:rPr>
          <w:rFonts w:asciiTheme="minorHAnsi" w:hAnsiTheme="minorHAnsi" w:cstheme="minorHAnsi"/>
          <w:szCs w:val="22"/>
        </w:rPr>
        <w:t xml:space="preserve"> Se mantendrá el formato previamente definido en las plantillas, pudiendo incluir ilustraciones. En ningún caso se </w:t>
      </w:r>
      <w:r w:rsidR="002F072C" w:rsidRPr="00657851">
        <w:rPr>
          <w:rFonts w:asciiTheme="minorHAnsi" w:hAnsiTheme="minorHAnsi" w:cstheme="minorHAnsi"/>
          <w:szCs w:val="22"/>
        </w:rPr>
        <w:t xml:space="preserve">podrán </w:t>
      </w:r>
      <w:r w:rsidRPr="00657851">
        <w:rPr>
          <w:rFonts w:asciiTheme="minorHAnsi" w:hAnsiTheme="minorHAnsi" w:cstheme="minorHAnsi"/>
          <w:szCs w:val="22"/>
        </w:rPr>
        <w:t xml:space="preserve">superar los límites de palabras establecidos para cada apartado. </w:t>
      </w:r>
      <w:r w:rsidRPr="00657851">
        <w:rPr>
          <w:rFonts w:asciiTheme="minorHAnsi" w:hAnsiTheme="minorHAnsi" w:cstheme="minorHAnsi"/>
          <w:b/>
          <w:bCs/>
          <w:szCs w:val="22"/>
        </w:rPr>
        <w:t xml:space="preserve">La extensión total de cada documento no podrá superar las </w:t>
      </w:r>
      <w:r w:rsidR="00C07CC6">
        <w:rPr>
          <w:rFonts w:asciiTheme="minorHAnsi" w:hAnsiTheme="minorHAnsi" w:cstheme="minorHAnsi"/>
          <w:b/>
          <w:bCs/>
          <w:szCs w:val="22"/>
        </w:rPr>
        <w:t>25</w:t>
      </w:r>
      <w:r w:rsidRPr="00657851">
        <w:rPr>
          <w:rFonts w:asciiTheme="minorHAnsi" w:hAnsiTheme="minorHAnsi" w:cstheme="minorHAnsi"/>
          <w:b/>
          <w:bCs/>
          <w:szCs w:val="22"/>
        </w:rPr>
        <w:t xml:space="preserve"> páginas</w:t>
      </w:r>
      <w:r w:rsidRPr="00657851">
        <w:rPr>
          <w:rFonts w:asciiTheme="minorHAnsi" w:hAnsiTheme="minorHAnsi" w:cstheme="minorHAnsi"/>
          <w:szCs w:val="22"/>
        </w:rPr>
        <w:t>. La información que exceda dichos límites no será valorada.</w:t>
      </w:r>
    </w:p>
    <w:p w14:paraId="1FAAF781" w14:textId="27008635" w:rsidR="005B75CE" w:rsidRPr="00657851" w:rsidRDefault="005B75CE" w:rsidP="00A25F4D">
      <w:pPr>
        <w:pStyle w:val="Ttulo2"/>
        <w:numPr>
          <w:ilvl w:val="1"/>
          <w:numId w:val="1"/>
        </w:numPr>
        <w:jc w:val="both"/>
        <w:rPr>
          <w:rFonts w:asciiTheme="minorHAnsi" w:hAnsiTheme="minorHAnsi" w:cstheme="minorHAnsi"/>
          <w:sz w:val="22"/>
          <w:szCs w:val="22"/>
        </w:rPr>
      </w:pPr>
      <w:r w:rsidRPr="00657851">
        <w:rPr>
          <w:rFonts w:asciiTheme="minorHAnsi" w:hAnsiTheme="minorHAnsi" w:cstheme="minorHAnsi"/>
          <w:sz w:val="22"/>
          <w:szCs w:val="22"/>
        </w:rPr>
        <w:t>Plazo de presentación</w:t>
      </w:r>
    </w:p>
    <w:p w14:paraId="5A29738C" w14:textId="417CC23E" w:rsidR="005B75CE" w:rsidRPr="00657851" w:rsidRDefault="005B75CE" w:rsidP="002B6F89">
      <w:pPr>
        <w:spacing w:line="276" w:lineRule="auto"/>
        <w:rPr>
          <w:rFonts w:asciiTheme="minorHAnsi" w:hAnsiTheme="minorHAnsi" w:cstheme="minorHAnsi"/>
          <w:szCs w:val="22"/>
        </w:rPr>
      </w:pPr>
      <w:r w:rsidRPr="00657851">
        <w:rPr>
          <w:rFonts w:asciiTheme="minorHAnsi" w:hAnsiTheme="minorHAnsi" w:cstheme="minorHAnsi"/>
          <w:szCs w:val="22"/>
        </w:rPr>
        <w:t xml:space="preserve">Las entidades interesadas deben presentar sus propuestas de proyectos </w:t>
      </w:r>
      <w:r w:rsidRPr="00657851">
        <w:rPr>
          <w:rFonts w:asciiTheme="minorHAnsi" w:hAnsiTheme="minorHAnsi" w:cstheme="minorHAnsi"/>
          <w:b/>
          <w:bCs/>
          <w:szCs w:val="22"/>
        </w:rPr>
        <w:t xml:space="preserve">desde el día </w:t>
      </w:r>
      <w:r w:rsidR="00E9788D" w:rsidRPr="00F6376B">
        <w:rPr>
          <w:rFonts w:asciiTheme="minorHAnsi" w:hAnsiTheme="minorHAnsi" w:cstheme="minorHAnsi"/>
          <w:b/>
          <w:bCs/>
          <w:szCs w:val="22"/>
        </w:rPr>
        <w:t>1</w:t>
      </w:r>
      <w:r w:rsidR="00C70DF6" w:rsidRPr="00F6376B">
        <w:rPr>
          <w:rFonts w:asciiTheme="minorHAnsi" w:hAnsiTheme="minorHAnsi" w:cstheme="minorHAnsi"/>
          <w:b/>
          <w:bCs/>
          <w:szCs w:val="22"/>
        </w:rPr>
        <w:t>9</w:t>
      </w:r>
      <w:r w:rsidR="005030C7" w:rsidRPr="00F6376B">
        <w:rPr>
          <w:rFonts w:asciiTheme="minorHAnsi" w:hAnsiTheme="minorHAnsi" w:cstheme="minorHAnsi"/>
          <w:b/>
          <w:bCs/>
          <w:szCs w:val="22"/>
        </w:rPr>
        <w:t xml:space="preserve"> </w:t>
      </w:r>
      <w:r w:rsidRPr="00F6376B">
        <w:rPr>
          <w:rFonts w:asciiTheme="minorHAnsi" w:hAnsiTheme="minorHAnsi" w:cstheme="minorHAnsi"/>
          <w:b/>
          <w:bCs/>
          <w:szCs w:val="22"/>
        </w:rPr>
        <w:t xml:space="preserve">de </w:t>
      </w:r>
      <w:r w:rsidR="009813F3" w:rsidRPr="00F6376B">
        <w:rPr>
          <w:rFonts w:asciiTheme="minorHAnsi" w:hAnsiTheme="minorHAnsi" w:cstheme="minorHAnsi"/>
          <w:b/>
          <w:bCs/>
          <w:szCs w:val="22"/>
        </w:rPr>
        <w:t>mayo</w:t>
      </w:r>
      <w:r w:rsidR="00C70DF6">
        <w:rPr>
          <w:rFonts w:asciiTheme="minorHAnsi" w:hAnsiTheme="minorHAnsi" w:cstheme="minorHAnsi"/>
          <w:b/>
          <w:bCs/>
          <w:szCs w:val="22"/>
        </w:rPr>
        <w:t xml:space="preserve"> de 2026</w:t>
      </w:r>
      <w:r w:rsidRPr="00657851">
        <w:rPr>
          <w:rFonts w:asciiTheme="minorHAnsi" w:hAnsiTheme="minorHAnsi" w:cstheme="minorHAnsi"/>
          <w:b/>
          <w:bCs/>
          <w:szCs w:val="22"/>
        </w:rPr>
        <w:t xml:space="preserve"> al día </w:t>
      </w:r>
      <w:r w:rsidR="00F6376B">
        <w:rPr>
          <w:rFonts w:asciiTheme="minorHAnsi" w:hAnsiTheme="minorHAnsi" w:cstheme="minorHAnsi"/>
          <w:b/>
          <w:bCs/>
          <w:szCs w:val="22"/>
        </w:rPr>
        <w:t>2</w:t>
      </w:r>
      <w:r w:rsidR="00B44057">
        <w:rPr>
          <w:rFonts w:asciiTheme="minorHAnsi" w:hAnsiTheme="minorHAnsi" w:cstheme="minorHAnsi"/>
          <w:b/>
          <w:bCs/>
          <w:szCs w:val="22"/>
        </w:rPr>
        <w:t xml:space="preserve"> de junio</w:t>
      </w:r>
      <w:r w:rsidR="00AF0EE5" w:rsidRPr="00657851">
        <w:rPr>
          <w:rFonts w:asciiTheme="minorHAnsi" w:hAnsiTheme="minorHAnsi" w:cstheme="minorHAnsi"/>
          <w:b/>
          <w:bCs/>
          <w:szCs w:val="22"/>
        </w:rPr>
        <w:t xml:space="preserve"> </w:t>
      </w:r>
      <w:r w:rsidRPr="00657851">
        <w:rPr>
          <w:rFonts w:asciiTheme="minorHAnsi" w:hAnsiTheme="minorHAnsi" w:cstheme="minorHAnsi"/>
          <w:b/>
          <w:bCs/>
          <w:szCs w:val="22"/>
        </w:rPr>
        <w:t>de 202</w:t>
      </w:r>
      <w:r w:rsidR="00AF0EE5" w:rsidRPr="00657851">
        <w:rPr>
          <w:rFonts w:asciiTheme="minorHAnsi" w:hAnsiTheme="minorHAnsi" w:cstheme="minorHAnsi"/>
          <w:b/>
          <w:bCs/>
          <w:szCs w:val="22"/>
        </w:rPr>
        <w:t>6</w:t>
      </w:r>
      <w:r w:rsidRPr="00657851">
        <w:rPr>
          <w:rFonts w:asciiTheme="minorHAnsi" w:hAnsiTheme="minorHAnsi" w:cstheme="minorHAnsi"/>
          <w:b/>
          <w:bCs/>
          <w:szCs w:val="22"/>
        </w:rPr>
        <w:t xml:space="preserve"> (</w:t>
      </w:r>
      <w:r w:rsidR="005030C7" w:rsidRPr="00657851">
        <w:rPr>
          <w:rFonts w:asciiTheme="minorHAnsi" w:hAnsiTheme="minorHAnsi" w:cstheme="minorHAnsi"/>
          <w:b/>
          <w:bCs/>
          <w:szCs w:val="22"/>
        </w:rPr>
        <w:t>ambos incluidos</w:t>
      </w:r>
      <w:r w:rsidRPr="00657851">
        <w:rPr>
          <w:rFonts w:asciiTheme="minorHAnsi" w:hAnsiTheme="minorHAnsi" w:cstheme="minorHAnsi"/>
          <w:b/>
          <w:bCs/>
          <w:szCs w:val="22"/>
        </w:rPr>
        <w:t>)</w:t>
      </w:r>
      <w:r w:rsidRPr="00657851">
        <w:rPr>
          <w:rFonts w:asciiTheme="minorHAnsi" w:hAnsiTheme="minorHAnsi" w:cstheme="minorHAnsi"/>
          <w:szCs w:val="22"/>
        </w:rPr>
        <w:t>.</w:t>
      </w:r>
    </w:p>
    <w:p w14:paraId="46E1D172" w14:textId="0E81FAEA" w:rsidR="005B75CE" w:rsidRPr="00657851" w:rsidRDefault="005B75CE" w:rsidP="00A25F4D">
      <w:pPr>
        <w:pStyle w:val="Ttulo2"/>
        <w:numPr>
          <w:ilvl w:val="1"/>
          <w:numId w:val="1"/>
        </w:numPr>
        <w:jc w:val="both"/>
        <w:rPr>
          <w:rFonts w:asciiTheme="minorHAnsi" w:hAnsiTheme="minorHAnsi" w:cstheme="minorHAnsi"/>
          <w:sz w:val="22"/>
          <w:szCs w:val="22"/>
        </w:rPr>
      </w:pPr>
      <w:bookmarkStart w:id="1" w:name="_Forma_de_presentación"/>
      <w:bookmarkEnd w:id="1"/>
      <w:r w:rsidRPr="00657851">
        <w:rPr>
          <w:rFonts w:asciiTheme="minorHAnsi" w:hAnsiTheme="minorHAnsi" w:cstheme="minorHAnsi"/>
          <w:sz w:val="22"/>
          <w:szCs w:val="22"/>
        </w:rPr>
        <w:t>Forma de presentación</w:t>
      </w:r>
    </w:p>
    <w:p w14:paraId="2B838BB2" w14:textId="1E664D19" w:rsidR="005B75CE" w:rsidRDefault="005B75CE" w:rsidP="002B6F89">
      <w:pPr>
        <w:spacing w:line="276" w:lineRule="auto"/>
        <w:rPr>
          <w:rFonts w:asciiTheme="minorHAnsi" w:hAnsiTheme="minorHAnsi" w:cstheme="minorHAnsi"/>
          <w:szCs w:val="22"/>
        </w:rPr>
      </w:pPr>
      <w:r w:rsidRPr="00657851">
        <w:rPr>
          <w:rFonts w:asciiTheme="minorHAnsi" w:hAnsiTheme="minorHAnsi" w:cstheme="minorHAnsi"/>
          <w:szCs w:val="22"/>
        </w:rPr>
        <w:t xml:space="preserve">Los participantes deberán presentar sus propuestas de proyecto ante la </w:t>
      </w:r>
      <w:r w:rsidR="009813F3">
        <w:rPr>
          <w:rFonts w:asciiTheme="minorHAnsi" w:hAnsiTheme="minorHAnsi" w:cstheme="minorHAnsi"/>
          <w:szCs w:val="22"/>
        </w:rPr>
        <w:t xml:space="preserve">Secretaría de Estado de Telecomunicaciones e </w:t>
      </w:r>
      <w:r w:rsidR="00573FF2">
        <w:rPr>
          <w:rFonts w:asciiTheme="minorHAnsi" w:hAnsiTheme="minorHAnsi" w:cstheme="minorHAnsi"/>
          <w:szCs w:val="22"/>
        </w:rPr>
        <w:t>I</w:t>
      </w:r>
      <w:r w:rsidR="009813F3">
        <w:rPr>
          <w:rFonts w:asciiTheme="minorHAnsi" w:hAnsiTheme="minorHAnsi" w:cstheme="minorHAnsi"/>
          <w:szCs w:val="22"/>
        </w:rPr>
        <w:t>nfraestructuras Digital</w:t>
      </w:r>
      <w:r w:rsidR="00EF48B2">
        <w:rPr>
          <w:rFonts w:asciiTheme="minorHAnsi" w:hAnsiTheme="minorHAnsi" w:cstheme="minorHAnsi"/>
          <w:szCs w:val="22"/>
        </w:rPr>
        <w:t>es</w:t>
      </w:r>
      <w:r w:rsidRPr="00657851">
        <w:rPr>
          <w:rFonts w:asciiTheme="minorHAnsi" w:hAnsiTheme="minorHAnsi" w:cstheme="minorHAnsi"/>
          <w:szCs w:val="22"/>
        </w:rPr>
        <w:t>, siguiendo las instrucciones y el formato especificados en la Guía para la Presentación de Solicitudes, publicada junto al presente documento, cumplimentando el formulario</w:t>
      </w:r>
      <w:r w:rsidR="00187172" w:rsidRPr="00657851">
        <w:rPr>
          <w:rFonts w:asciiTheme="minorHAnsi" w:hAnsiTheme="minorHAnsi" w:cstheme="minorHAnsi"/>
          <w:szCs w:val="22"/>
        </w:rPr>
        <w:t xml:space="preserve"> online</w:t>
      </w:r>
      <w:r w:rsidR="00F633A7" w:rsidRPr="00657851">
        <w:rPr>
          <w:rFonts w:asciiTheme="minorHAnsi" w:hAnsiTheme="minorHAnsi" w:cstheme="minorHAnsi"/>
          <w:szCs w:val="22"/>
        </w:rPr>
        <w:t xml:space="preserve"> de participación</w:t>
      </w:r>
      <w:r w:rsidRPr="00657851">
        <w:rPr>
          <w:rFonts w:asciiTheme="minorHAnsi" w:hAnsiTheme="minorHAnsi" w:cstheme="minorHAnsi"/>
          <w:szCs w:val="22"/>
        </w:rPr>
        <w:t xml:space="preserve"> correspondiente y enviando la documentación a través de correo electrónico dirigido al buzó</w:t>
      </w:r>
      <w:r w:rsidR="00B44057">
        <w:rPr>
          <w:rFonts w:asciiTheme="minorHAnsi" w:hAnsiTheme="minorHAnsi" w:cstheme="minorHAnsi"/>
          <w:szCs w:val="22"/>
        </w:rPr>
        <w:t xml:space="preserve">n </w:t>
      </w:r>
      <w:hyperlink r:id="rId18" w:history="1">
        <w:r w:rsidR="006727BE" w:rsidRPr="00420067">
          <w:rPr>
            <w:rStyle w:val="Hipervnculo"/>
            <w:rFonts w:asciiTheme="minorHAnsi" w:hAnsiTheme="minorHAnsi" w:cstheme="minorHAnsi"/>
            <w:szCs w:val="22"/>
          </w:rPr>
          <w:t>IPCEI-AST@digital.gob.es</w:t>
        </w:r>
      </w:hyperlink>
      <w:r w:rsidRPr="00657851">
        <w:rPr>
          <w:rFonts w:asciiTheme="minorHAnsi" w:hAnsiTheme="minorHAnsi" w:cstheme="minorHAnsi"/>
          <w:szCs w:val="22"/>
        </w:rPr>
        <w:t>.</w:t>
      </w:r>
    </w:p>
    <w:p w14:paraId="1FBC6329" w14:textId="1D6DA562" w:rsidR="00F14C0A" w:rsidRPr="00657851" w:rsidRDefault="00F14C0A" w:rsidP="002B6F89">
      <w:pPr>
        <w:spacing w:line="276" w:lineRule="auto"/>
        <w:rPr>
          <w:rFonts w:asciiTheme="minorHAnsi" w:hAnsiTheme="minorHAnsi" w:cstheme="minorHAnsi"/>
          <w:szCs w:val="22"/>
        </w:rPr>
      </w:pPr>
      <w:r>
        <w:rPr>
          <w:rFonts w:asciiTheme="minorHAnsi" w:hAnsiTheme="minorHAnsi" w:cstheme="minorHAnsi"/>
          <w:szCs w:val="22"/>
        </w:rPr>
        <w:t>La Secretaría de Estado</w:t>
      </w:r>
      <w:r w:rsidR="00573FF2">
        <w:rPr>
          <w:rFonts w:asciiTheme="minorHAnsi" w:hAnsiTheme="minorHAnsi" w:cstheme="minorHAnsi"/>
          <w:szCs w:val="22"/>
        </w:rPr>
        <w:t xml:space="preserve"> de Telecomunicaciones e Infraestructuras Digitales</w:t>
      </w:r>
      <w:r w:rsidR="00A219E3">
        <w:rPr>
          <w:rFonts w:asciiTheme="minorHAnsi" w:hAnsiTheme="minorHAnsi" w:cstheme="minorHAnsi"/>
          <w:szCs w:val="22"/>
        </w:rPr>
        <w:t xml:space="preserve"> contará con </w:t>
      </w:r>
      <w:r w:rsidR="00573FF2">
        <w:rPr>
          <w:rFonts w:asciiTheme="minorHAnsi" w:hAnsiTheme="minorHAnsi" w:cstheme="minorHAnsi"/>
          <w:szCs w:val="22"/>
        </w:rPr>
        <w:t>el apoyo de la Sociedad Española para la Transformación Tecnológica</w:t>
      </w:r>
      <w:r w:rsidR="00BB23A3">
        <w:rPr>
          <w:rFonts w:asciiTheme="minorHAnsi" w:hAnsiTheme="minorHAnsi" w:cstheme="minorHAnsi"/>
          <w:szCs w:val="22"/>
        </w:rPr>
        <w:t xml:space="preserve"> y con </w:t>
      </w:r>
      <w:r w:rsidR="00A219E3">
        <w:rPr>
          <w:rFonts w:asciiTheme="minorHAnsi" w:hAnsiTheme="minorHAnsi" w:cstheme="minorHAnsi"/>
          <w:szCs w:val="22"/>
        </w:rPr>
        <w:t xml:space="preserve">la colaboración de la Dirección General de </w:t>
      </w:r>
      <w:r w:rsidR="00B5087B">
        <w:rPr>
          <w:rFonts w:asciiTheme="minorHAnsi" w:hAnsiTheme="minorHAnsi" w:cstheme="minorHAnsi"/>
          <w:szCs w:val="22"/>
        </w:rPr>
        <w:t>Programas Industriales, del ministerio de industria y Turismo</w:t>
      </w:r>
      <w:r w:rsidR="00BB23A3">
        <w:rPr>
          <w:rFonts w:asciiTheme="minorHAnsi" w:hAnsiTheme="minorHAnsi" w:cstheme="minorHAnsi"/>
          <w:szCs w:val="22"/>
        </w:rPr>
        <w:t>.</w:t>
      </w:r>
    </w:p>
    <w:p w14:paraId="2534BFD0" w14:textId="77777777" w:rsidR="00EB6554" w:rsidRPr="00657851" w:rsidRDefault="00EB6554" w:rsidP="002B6F89">
      <w:pPr>
        <w:spacing w:line="276" w:lineRule="auto"/>
        <w:rPr>
          <w:rFonts w:asciiTheme="minorHAnsi" w:hAnsiTheme="minorHAnsi" w:cstheme="minorHAnsi"/>
          <w:szCs w:val="22"/>
        </w:rPr>
      </w:pPr>
    </w:p>
    <w:p w14:paraId="34E99CFE" w14:textId="2CCB3D97" w:rsidR="00977A4C" w:rsidRPr="00657851" w:rsidRDefault="00977A4C" w:rsidP="002F072C">
      <w:pPr>
        <w:pStyle w:val="Ttulo1"/>
        <w:numPr>
          <w:ilvl w:val="0"/>
          <w:numId w:val="1"/>
        </w:numPr>
        <w:jc w:val="both"/>
        <w:rPr>
          <w:rFonts w:asciiTheme="minorHAnsi" w:hAnsiTheme="minorHAnsi" w:cstheme="minorHAnsi"/>
          <w:sz w:val="22"/>
          <w:szCs w:val="22"/>
        </w:rPr>
      </w:pPr>
      <w:r w:rsidRPr="00657851">
        <w:rPr>
          <w:rFonts w:asciiTheme="minorHAnsi" w:hAnsiTheme="minorHAnsi" w:cstheme="minorHAnsi"/>
          <w:sz w:val="22"/>
          <w:szCs w:val="22"/>
        </w:rPr>
        <w:lastRenderedPageBreak/>
        <w:t>Información y consultas</w:t>
      </w:r>
    </w:p>
    <w:p w14:paraId="6C2B146C" w14:textId="2C4D678D" w:rsidR="00EB6554" w:rsidRPr="00657851" w:rsidRDefault="00977A4C" w:rsidP="002B6F89">
      <w:pPr>
        <w:spacing w:line="276" w:lineRule="auto"/>
        <w:rPr>
          <w:rFonts w:asciiTheme="minorHAnsi" w:hAnsiTheme="minorHAnsi" w:cstheme="minorHAnsi"/>
          <w:szCs w:val="22"/>
        </w:rPr>
      </w:pPr>
      <w:r w:rsidRPr="00657851">
        <w:rPr>
          <w:rFonts w:asciiTheme="minorHAnsi" w:hAnsiTheme="minorHAnsi" w:cstheme="minorHAnsi"/>
          <w:szCs w:val="22"/>
        </w:rPr>
        <w:t>Si necesita información adicional sobre la participación en esta manifestación de interés puede plantear su consulta a través del siguiente buzón de correo electrónico</w:t>
      </w:r>
      <w:r w:rsidR="006727BE">
        <w:rPr>
          <w:rStyle w:val="Hipervnculo"/>
          <w:rFonts w:asciiTheme="minorHAnsi" w:hAnsiTheme="minorHAnsi" w:cstheme="minorHAnsi"/>
          <w:szCs w:val="22"/>
        </w:rPr>
        <w:t xml:space="preserve"> </w:t>
      </w:r>
      <w:hyperlink r:id="rId19" w:history="1">
        <w:r w:rsidR="006727BE" w:rsidRPr="00420067">
          <w:rPr>
            <w:rStyle w:val="Hipervnculo"/>
            <w:rFonts w:asciiTheme="minorHAnsi" w:hAnsiTheme="minorHAnsi" w:cstheme="minorHAnsi"/>
            <w:szCs w:val="22"/>
          </w:rPr>
          <w:t>IPCEI-AST@digital.gob.es</w:t>
        </w:r>
      </w:hyperlink>
      <w:r w:rsidR="00EB6554" w:rsidRPr="00657851">
        <w:rPr>
          <w:rFonts w:asciiTheme="minorHAnsi" w:hAnsiTheme="minorHAnsi" w:cstheme="minorHAnsi"/>
          <w:szCs w:val="22"/>
        </w:rPr>
        <w:t>.</w:t>
      </w:r>
    </w:p>
    <w:p w14:paraId="10A22AF8" w14:textId="0B93661B" w:rsidR="00977A4C" w:rsidRPr="00657851" w:rsidRDefault="00977A4C" w:rsidP="002B6F89">
      <w:pPr>
        <w:spacing w:line="276" w:lineRule="auto"/>
        <w:rPr>
          <w:rFonts w:asciiTheme="minorHAnsi" w:hAnsiTheme="minorHAnsi" w:cstheme="minorHAnsi"/>
          <w:szCs w:val="22"/>
        </w:rPr>
      </w:pPr>
      <w:r w:rsidRPr="00657851">
        <w:rPr>
          <w:rFonts w:asciiTheme="minorHAnsi" w:hAnsiTheme="minorHAnsi" w:cstheme="minorHAnsi"/>
          <w:szCs w:val="22"/>
        </w:rPr>
        <w:t>El asunto del correo deberá seguir el siguiente formato: “[Consulta</w:t>
      </w:r>
      <w:r w:rsidR="003173FE">
        <w:rPr>
          <w:rFonts w:asciiTheme="minorHAnsi" w:hAnsiTheme="minorHAnsi" w:cstheme="minorHAnsi"/>
          <w:szCs w:val="22"/>
        </w:rPr>
        <w:t xml:space="preserve"> </w:t>
      </w:r>
      <w:r w:rsidR="001217AC" w:rsidRPr="00657851">
        <w:rPr>
          <w:rFonts w:asciiTheme="minorHAnsi" w:hAnsiTheme="minorHAnsi" w:cstheme="minorHAnsi"/>
          <w:szCs w:val="22"/>
        </w:rPr>
        <w:t>AST</w:t>
      </w:r>
      <w:r w:rsidRPr="00657851">
        <w:rPr>
          <w:rFonts w:asciiTheme="minorHAnsi" w:hAnsiTheme="minorHAnsi" w:cstheme="minorHAnsi"/>
          <w:szCs w:val="22"/>
        </w:rPr>
        <w:t>] – [Nombre empresa]”. El contenido de las consultas deberá incluirse en el cuerpo del mensaje, de forma estructurada y numerada. Se recomienda que las cuestiones planteadas sean concisas, específicas y claramente formuladas, con el fin de facilitar su análisis y respuesta.</w:t>
      </w:r>
    </w:p>
    <w:p w14:paraId="0C068C8C" w14:textId="38572843" w:rsidR="00977A4C" w:rsidRPr="00C82AED" w:rsidRDefault="00977A4C" w:rsidP="002B6F89">
      <w:pPr>
        <w:spacing w:line="276" w:lineRule="auto"/>
        <w:rPr>
          <w:rFonts w:asciiTheme="minorHAnsi" w:hAnsiTheme="minorHAnsi" w:cstheme="minorHAnsi"/>
          <w:szCs w:val="22"/>
        </w:rPr>
      </w:pPr>
      <w:r w:rsidRPr="00657851">
        <w:rPr>
          <w:rFonts w:asciiTheme="minorHAnsi" w:hAnsiTheme="minorHAnsi" w:cstheme="minorHAnsi"/>
          <w:szCs w:val="22"/>
        </w:rPr>
        <w:t>Las respuestas a aquellas consultas que se consideren de carácter general o recurrente enviadas a través del buzón podrán publicarse en una sección de preguntas frecuentes (</w:t>
      </w:r>
      <w:proofErr w:type="spellStart"/>
      <w:r w:rsidRPr="00657851">
        <w:rPr>
          <w:rFonts w:asciiTheme="minorHAnsi" w:hAnsiTheme="minorHAnsi" w:cstheme="minorHAnsi"/>
          <w:szCs w:val="22"/>
        </w:rPr>
        <w:t>FAQs</w:t>
      </w:r>
      <w:proofErr w:type="spellEnd"/>
      <w:r w:rsidRPr="00657851">
        <w:rPr>
          <w:rFonts w:asciiTheme="minorHAnsi" w:hAnsiTheme="minorHAnsi" w:cstheme="minorHAnsi"/>
          <w:szCs w:val="22"/>
        </w:rPr>
        <w:t>) creada a tal efecto.</w:t>
      </w:r>
    </w:p>
    <w:sectPr w:rsidR="00977A4C" w:rsidRPr="00C82AED" w:rsidSect="00DF2A5B">
      <w:type w:val="continuous"/>
      <w:pgSz w:w="11906" w:h="16838" w:code="9"/>
      <w:pgMar w:top="1950" w:right="1416" w:bottom="567" w:left="1418" w:header="6" w:footer="0" w:gutter="0"/>
      <w:cols w:space="720" w:equalWidth="0">
        <w:col w:w="9072"/>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21570" w14:textId="77777777" w:rsidR="00D0231B" w:rsidRDefault="00D0231B">
      <w:r>
        <w:separator/>
      </w:r>
    </w:p>
  </w:endnote>
  <w:endnote w:type="continuationSeparator" w:id="0">
    <w:p w14:paraId="13724CD8" w14:textId="77777777" w:rsidR="00D0231B" w:rsidRDefault="00D0231B">
      <w:r>
        <w:continuationSeparator/>
      </w:r>
    </w:p>
  </w:endnote>
  <w:endnote w:type="continuationNotice" w:id="1">
    <w:p w14:paraId="06CA64C3" w14:textId="77777777" w:rsidR="00D0231B" w:rsidRDefault="00D023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8ED4" w14:textId="77777777" w:rsidR="00597510" w:rsidRDefault="0059751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368ED5" w14:textId="77777777" w:rsidR="00597510" w:rsidRDefault="00597510">
    <w:pPr>
      <w:pStyle w:val="Piedepgina"/>
    </w:pPr>
  </w:p>
  <w:p w14:paraId="68368ED6" w14:textId="77777777" w:rsidR="009F2B8F" w:rsidRDefault="009F2B8F"/>
  <w:p w14:paraId="68368ED7" w14:textId="77777777" w:rsidR="009F2B8F" w:rsidRDefault="009F2B8F"/>
  <w:p w14:paraId="68368ED8" w14:textId="77777777" w:rsidR="009F2B8F" w:rsidRDefault="009F2B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718256"/>
      <w:docPartObj>
        <w:docPartGallery w:val="Page Numbers (Bottom of Page)"/>
        <w:docPartUnique/>
      </w:docPartObj>
    </w:sdtPr>
    <w:sdtEndPr/>
    <w:sdtContent>
      <w:p w14:paraId="791FF9CB" w14:textId="6555F837" w:rsidR="00657851" w:rsidRDefault="00657851">
        <w:pPr>
          <w:pStyle w:val="Piedepgina"/>
          <w:jc w:val="right"/>
        </w:pPr>
        <w:r>
          <w:fldChar w:fldCharType="begin"/>
        </w:r>
        <w:r>
          <w:instrText>PAGE   \* MERGEFORMAT</w:instrText>
        </w:r>
        <w:r>
          <w:fldChar w:fldCharType="separate"/>
        </w:r>
        <w:r>
          <w:rPr>
            <w:lang w:val="es-ES"/>
          </w:rPr>
          <w:t>2</w:t>
        </w:r>
        <w:r>
          <w:fldChar w:fldCharType="end"/>
        </w:r>
      </w:p>
    </w:sdtContent>
  </w:sdt>
  <w:p w14:paraId="68368EE1" w14:textId="77777777" w:rsidR="000A6614" w:rsidRDefault="000A6614" w:rsidP="00311D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3" w:type="dxa"/>
      <w:tblInd w:w="70" w:type="dxa"/>
      <w:tblBorders>
        <w:insideV w:val="single" w:sz="4" w:space="0" w:color="auto"/>
      </w:tblBorders>
      <w:tblCellMar>
        <w:left w:w="70" w:type="dxa"/>
        <w:right w:w="70" w:type="dxa"/>
      </w:tblCellMar>
      <w:tblLook w:val="0000" w:firstRow="0" w:lastRow="0" w:firstColumn="0" w:lastColumn="0" w:noHBand="0" w:noVBand="0"/>
    </w:tblPr>
    <w:tblGrid>
      <w:gridCol w:w="8222"/>
      <w:gridCol w:w="2501"/>
    </w:tblGrid>
    <w:tr w:rsidR="00AC3610" w14:paraId="42CB4E29" w14:textId="77777777" w:rsidTr="00AC3610">
      <w:tc>
        <w:tcPr>
          <w:tcW w:w="8222" w:type="dxa"/>
          <w:tcBorders>
            <w:right w:val="nil"/>
          </w:tcBorders>
          <w:vAlign w:val="bottom"/>
        </w:tcPr>
        <w:p w14:paraId="63F28F61" w14:textId="77777777" w:rsidR="00AC3610" w:rsidRDefault="00AC3610" w:rsidP="0004353C">
          <w:pPr>
            <w:pStyle w:val="organismos"/>
            <w:framePr w:hSpace="0" w:vSpace="0" w:wrap="auto" w:vAnchor="margin" w:hAnchor="text" w:xAlign="left" w:yAlign="inline"/>
            <w:ind w:left="-70" w:firstLine="0"/>
            <w:suppressOverlap w:val="0"/>
          </w:pPr>
        </w:p>
      </w:tc>
      <w:tc>
        <w:tcPr>
          <w:tcW w:w="2501" w:type="dxa"/>
          <w:tcBorders>
            <w:left w:val="nil"/>
          </w:tcBorders>
          <w:vAlign w:val="bottom"/>
        </w:tcPr>
        <w:p w14:paraId="6B735686" w14:textId="77777777" w:rsidR="00AC3610" w:rsidRDefault="00AC3610" w:rsidP="0004353C">
          <w:pPr>
            <w:pStyle w:val="organismos"/>
            <w:framePr w:hSpace="0" w:vSpace="0" w:wrap="auto" w:vAnchor="margin" w:hAnchor="text" w:xAlign="left" w:yAlign="inline"/>
            <w:ind w:left="1" w:firstLine="0"/>
            <w:suppressOverlap w:val="0"/>
          </w:pPr>
        </w:p>
      </w:tc>
    </w:tr>
    <w:tr w:rsidR="00AC3610" w14:paraId="05D7D106" w14:textId="77777777" w:rsidTr="00AC3610">
      <w:tc>
        <w:tcPr>
          <w:tcW w:w="8222" w:type="dxa"/>
          <w:tcBorders>
            <w:right w:val="nil"/>
          </w:tcBorders>
          <w:vAlign w:val="bottom"/>
        </w:tcPr>
        <w:p w14:paraId="293A9DC4" w14:textId="77777777" w:rsidR="00AC3610" w:rsidRDefault="00AC3610" w:rsidP="0004353C">
          <w:pPr>
            <w:pStyle w:val="organismos"/>
            <w:framePr w:hSpace="0" w:vSpace="0" w:wrap="auto" w:vAnchor="margin" w:hAnchor="text" w:xAlign="left" w:yAlign="inline"/>
            <w:ind w:left="-70" w:firstLine="0"/>
            <w:suppressOverlap w:val="0"/>
          </w:pPr>
        </w:p>
      </w:tc>
      <w:tc>
        <w:tcPr>
          <w:tcW w:w="2501" w:type="dxa"/>
          <w:tcBorders>
            <w:left w:val="nil"/>
          </w:tcBorders>
          <w:vAlign w:val="bottom"/>
        </w:tcPr>
        <w:p w14:paraId="48C3426B" w14:textId="77777777" w:rsidR="00AC3610" w:rsidRDefault="00AC3610" w:rsidP="0004353C">
          <w:pPr>
            <w:pStyle w:val="organismos"/>
            <w:framePr w:hSpace="0" w:vSpace="0" w:wrap="auto" w:vAnchor="margin" w:hAnchor="text" w:xAlign="left" w:yAlign="inline"/>
            <w:ind w:left="1" w:firstLine="0"/>
            <w:suppressOverlap w:val="0"/>
          </w:pPr>
        </w:p>
      </w:tc>
    </w:tr>
    <w:tr w:rsidR="00597510" w14:paraId="68368EE9" w14:textId="77777777" w:rsidTr="000A6DF7">
      <w:tc>
        <w:tcPr>
          <w:tcW w:w="8222" w:type="dxa"/>
          <w:vAlign w:val="bottom"/>
        </w:tcPr>
        <w:p w14:paraId="68368EE4" w14:textId="0237616B" w:rsidR="00597510" w:rsidRDefault="00597510" w:rsidP="00EC17F2">
          <w:pPr>
            <w:pStyle w:val="organismos"/>
            <w:framePr w:hSpace="0" w:vSpace="0" w:wrap="auto" w:vAnchor="margin" w:hAnchor="text" w:xAlign="left" w:yAlign="inline"/>
            <w:ind w:left="0"/>
            <w:suppressOverlap w:val="0"/>
          </w:pPr>
        </w:p>
      </w:tc>
      <w:tc>
        <w:tcPr>
          <w:tcW w:w="2501" w:type="dxa"/>
          <w:vAlign w:val="bottom"/>
        </w:tcPr>
        <w:p w14:paraId="68368EE8" w14:textId="17FE7A0A" w:rsidR="00597510" w:rsidRDefault="00597510" w:rsidP="0004353C">
          <w:pPr>
            <w:pStyle w:val="organismos"/>
            <w:framePr w:hSpace="0" w:vSpace="0" w:wrap="auto" w:vAnchor="margin" w:hAnchor="text" w:xAlign="left" w:yAlign="inline"/>
            <w:ind w:left="1" w:firstLine="0"/>
            <w:suppressOverlap w:val="0"/>
          </w:pPr>
        </w:p>
      </w:tc>
    </w:tr>
  </w:tbl>
  <w:p w14:paraId="68368EEA" w14:textId="77777777" w:rsidR="00597510" w:rsidRDefault="005975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F1151" w14:textId="77777777" w:rsidR="00D0231B" w:rsidRDefault="00D0231B">
      <w:r>
        <w:separator/>
      </w:r>
    </w:p>
  </w:footnote>
  <w:footnote w:type="continuationSeparator" w:id="0">
    <w:p w14:paraId="7F34170E" w14:textId="77777777" w:rsidR="00D0231B" w:rsidRDefault="00D0231B">
      <w:r>
        <w:continuationSeparator/>
      </w:r>
    </w:p>
  </w:footnote>
  <w:footnote w:type="continuationNotice" w:id="1">
    <w:p w14:paraId="2B33AC51" w14:textId="77777777" w:rsidR="00D0231B" w:rsidRDefault="00D0231B">
      <w:pPr>
        <w:spacing w:after="0" w:line="240" w:lineRule="auto"/>
      </w:pPr>
    </w:p>
  </w:footnote>
  <w:footnote w:id="2">
    <w:p w14:paraId="5E66ECF0" w14:textId="7BBE651D" w:rsidR="00CB53F2" w:rsidRPr="002934E8" w:rsidRDefault="00CB53F2" w:rsidP="002934E8">
      <w:pPr>
        <w:pStyle w:val="Textonotapie"/>
        <w:spacing w:line="240" w:lineRule="auto"/>
        <w:rPr>
          <w:sz w:val="20"/>
          <w:lang w:val="es-ES"/>
        </w:rPr>
      </w:pPr>
      <w:r>
        <w:rPr>
          <w:rStyle w:val="Refdenotaalpie"/>
        </w:rPr>
        <w:footnoteRef/>
      </w:r>
      <w:r>
        <w:t xml:space="preserve"> </w:t>
      </w:r>
      <w:r w:rsidR="002934E8" w:rsidRPr="002934E8">
        <w:rPr>
          <w:sz w:val="20"/>
        </w:rPr>
        <w:t>Alemania, Austria, Bélgica, Eslovenia, España, Finlandia, Francia, Hungría, Irlanda, Italia, Lituania, Malta, Países Bajos, Polonia, Portugal</w:t>
      </w:r>
    </w:p>
  </w:footnote>
  <w:footnote w:id="3">
    <w:p w14:paraId="5110229F" w14:textId="1546E120" w:rsidR="008F111D" w:rsidRPr="008F111D" w:rsidRDefault="008F111D">
      <w:pPr>
        <w:pStyle w:val="Textonotapie"/>
        <w:rPr>
          <w:lang w:val="es-ES"/>
        </w:rPr>
      </w:pPr>
      <w:r>
        <w:rPr>
          <w:rStyle w:val="Refdenotaalpie"/>
        </w:rPr>
        <w:footnoteRef/>
      </w:r>
      <w:r>
        <w:t xml:space="preserve"> </w:t>
      </w:r>
      <w:r>
        <w:rPr>
          <w:lang w:val="es-ES"/>
        </w:rPr>
        <w:t>Pendiente de confirmar con los coordinadores del Grupo de Trabajo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8ECC" w14:textId="77777777" w:rsidR="00597510" w:rsidRDefault="0059751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368ECD" w14:textId="77777777" w:rsidR="00597510" w:rsidRDefault="00597510">
    <w:pPr>
      <w:pStyle w:val="Encabezado"/>
      <w:ind w:right="360"/>
    </w:pPr>
  </w:p>
  <w:p w14:paraId="68368ECE" w14:textId="77777777" w:rsidR="009F2B8F" w:rsidRDefault="009F2B8F"/>
  <w:p w14:paraId="68368ECF" w14:textId="77777777" w:rsidR="009F2B8F" w:rsidRDefault="009F2B8F"/>
  <w:p w14:paraId="68368ED0" w14:textId="77777777" w:rsidR="009F2B8F" w:rsidRDefault="009F2B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8ED1" w14:textId="30C0C717" w:rsidR="00597510" w:rsidRDefault="00597510">
    <w:pPr>
      <w:pStyle w:val="Encabezado"/>
      <w:tabs>
        <w:tab w:val="clear" w:pos="8504"/>
      </w:tabs>
      <w:ind w:right="-87"/>
      <w:jc w:val="right"/>
    </w:pPr>
  </w:p>
  <w:p w14:paraId="68368ED2" w14:textId="77777777" w:rsidR="009F2B8F" w:rsidRDefault="009F2B8F"/>
  <w:p w14:paraId="68368ED3" w14:textId="6EA29159" w:rsidR="009F2B8F" w:rsidRDefault="009F2B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0FE2"/>
    <w:multiLevelType w:val="hybridMultilevel"/>
    <w:tmpl w:val="456A5132"/>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174907A6"/>
    <w:multiLevelType w:val="multilevel"/>
    <w:tmpl w:val="2C58A8DE"/>
    <w:lvl w:ilvl="0">
      <w:start w:val="1"/>
      <w:numFmt w:val="decimal"/>
      <w:pStyle w:val="ITberschrift1"/>
      <w:lvlText w:val="%1."/>
      <w:lvlJc w:val="left"/>
      <w:pPr>
        <w:tabs>
          <w:tab w:val="num" w:pos="720"/>
        </w:tabs>
        <w:ind w:left="720" w:hanging="720"/>
      </w:pPr>
    </w:lvl>
    <w:lvl w:ilvl="1">
      <w:start w:val="1"/>
      <w:numFmt w:val="decimal"/>
      <w:pStyle w:val="ITberschrift11"/>
      <w:lvlText w:val="%2."/>
      <w:lvlJc w:val="left"/>
      <w:pPr>
        <w:tabs>
          <w:tab w:val="num" w:pos="1440"/>
        </w:tabs>
        <w:ind w:left="1440" w:hanging="720"/>
      </w:pPr>
    </w:lvl>
    <w:lvl w:ilvl="2">
      <w:start w:val="1"/>
      <w:numFmt w:val="decimal"/>
      <w:pStyle w:val="ITberschrift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B356687"/>
    <w:multiLevelType w:val="hybridMultilevel"/>
    <w:tmpl w:val="10BA05C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47FC4EC2"/>
    <w:multiLevelType w:val="hybridMultilevel"/>
    <w:tmpl w:val="4D7C11A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755B66D5"/>
    <w:multiLevelType w:val="multilevel"/>
    <w:tmpl w:val="0C0A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5738395">
    <w:abstractNumId w:val="4"/>
  </w:num>
  <w:num w:numId="2" w16cid:durableId="326055993">
    <w:abstractNumId w:val="0"/>
  </w:num>
  <w:num w:numId="3" w16cid:durableId="425807410">
    <w:abstractNumId w:val="2"/>
  </w:num>
  <w:num w:numId="4" w16cid:durableId="1688290693">
    <w:abstractNumId w:val="3"/>
  </w:num>
  <w:num w:numId="5" w16cid:durableId="1335720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021"/>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06"/>
    <w:rsid w:val="00010367"/>
    <w:rsid w:val="00030A11"/>
    <w:rsid w:val="000336D4"/>
    <w:rsid w:val="00034B5C"/>
    <w:rsid w:val="00037837"/>
    <w:rsid w:val="0004353C"/>
    <w:rsid w:val="00044B53"/>
    <w:rsid w:val="00050155"/>
    <w:rsid w:val="00051899"/>
    <w:rsid w:val="00052237"/>
    <w:rsid w:val="00054A4A"/>
    <w:rsid w:val="0005517C"/>
    <w:rsid w:val="00065B05"/>
    <w:rsid w:val="00070B81"/>
    <w:rsid w:val="0009040D"/>
    <w:rsid w:val="000919FA"/>
    <w:rsid w:val="000963C7"/>
    <w:rsid w:val="000A6614"/>
    <w:rsid w:val="000A6DF7"/>
    <w:rsid w:val="000B7D99"/>
    <w:rsid w:val="000D3ACA"/>
    <w:rsid w:val="000D50AA"/>
    <w:rsid w:val="000F743C"/>
    <w:rsid w:val="0010102A"/>
    <w:rsid w:val="00104CB3"/>
    <w:rsid w:val="0011276B"/>
    <w:rsid w:val="001217AC"/>
    <w:rsid w:val="00123175"/>
    <w:rsid w:val="00151F91"/>
    <w:rsid w:val="00153544"/>
    <w:rsid w:val="00162683"/>
    <w:rsid w:val="00164521"/>
    <w:rsid w:val="00172E43"/>
    <w:rsid w:val="001776A6"/>
    <w:rsid w:val="00187172"/>
    <w:rsid w:val="00190C9F"/>
    <w:rsid w:val="001A23B5"/>
    <w:rsid w:val="001A300D"/>
    <w:rsid w:val="001A6298"/>
    <w:rsid w:val="001A64E7"/>
    <w:rsid w:val="001A65E4"/>
    <w:rsid w:val="001B61E0"/>
    <w:rsid w:val="001F0AE0"/>
    <w:rsid w:val="001F4315"/>
    <w:rsid w:val="001F4B4E"/>
    <w:rsid w:val="00204BDE"/>
    <w:rsid w:val="00206F2B"/>
    <w:rsid w:val="002170F6"/>
    <w:rsid w:val="00221C13"/>
    <w:rsid w:val="00224455"/>
    <w:rsid w:val="0024724B"/>
    <w:rsid w:val="00247827"/>
    <w:rsid w:val="00252493"/>
    <w:rsid w:val="00252A26"/>
    <w:rsid w:val="00256848"/>
    <w:rsid w:val="00265D73"/>
    <w:rsid w:val="002860F3"/>
    <w:rsid w:val="0029017F"/>
    <w:rsid w:val="002934E8"/>
    <w:rsid w:val="00296F21"/>
    <w:rsid w:val="002B6F89"/>
    <w:rsid w:val="002C2132"/>
    <w:rsid w:val="002C7C4C"/>
    <w:rsid w:val="002D030B"/>
    <w:rsid w:val="002D3D4C"/>
    <w:rsid w:val="002E61B8"/>
    <w:rsid w:val="002F072C"/>
    <w:rsid w:val="00311D47"/>
    <w:rsid w:val="003173FE"/>
    <w:rsid w:val="003215AE"/>
    <w:rsid w:val="00332118"/>
    <w:rsid w:val="00334876"/>
    <w:rsid w:val="003368D9"/>
    <w:rsid w:val="00347F45"/>
    <w:rsid w:val="0035101F"/>
    <w:rsid w:val="003710D2"/>
    <w:rsid w:val="003757A6"/>
    <w:rsid w:val="00382CB6"/>
    <w:rsid w:val="0039239F"/>
    <w:rsid w:val="00395BCB"/>
    <w:rsid w:val="003A357D"/>
    <w:rsid w:val="003A4218"/>
    <w:rsid w:val="003C0B7F"/>
    <w:rsid w:val="003E0A0C"/>
    <w:rsid w:val="003E55AF"/>
    <w:rsid w:val="003E7540"/>
    <w:rsid w:val="003E7A2F"/>
    <w:rsid w:val="003E7B2E"/>
    <w:rsid w:val="003F2667"/>
    <w:rsid w:val="003F4753"/>
    <w:rsid w:val="003F64F6"/>
    <w:rsid w:val="004038A9"/>
    <w:rsid w:val="004147AD"/>
    <w:rsid w:val="00442639"/>
    <w:rsid w:val="00447B27"/>
    <w:rsid w:val="004506A7"/>
    <w:rsid w:val="00453857"/>
    <w:rsid w:val="0045513E"/>
    <w:rsid w:val="00464CAF"/>
    <w:rsid w:val="004912AB"/>
    <w:rsid w:val="00496A1E"/>
    <w:rsid w:val="00497FF3"/>
    <w:rsid w:val="004A2228"/>
    <w:rsid w:val="004C0AEB"/>
    <w:rsid w:val="004C24D8"/>
    <w:rsid w:val="004C604F"/>
    <w:rsid w:val="004D113D"/>
    <w:rsid w:val="004E4161"/>
    <w:rsid w:val="004F2FD1"/>
    <w:rsid w:val="005030C7"/>
    <w:rsid w:val="00503B3B"/>
    <w:rsid w:val="005258EE"/>
    <w:rsid w:val="005333BB"/>
    <w:rsid w:val="00540E7B"/>
    <w:rsid w:val="0054229D"/>
    <w:rsid w:val="0055052C"/>
    <w:rsid w:val="00555C9F"/>
    <w:rsid w:val="00557195"/>
    <w:rsid w:val="0057354B"/>
    <w:rsid w:val="00573FF2"/>
    <w:rsid w:val="00575532"/>
    <w:rsid w:val="00576317"/>
    <w:rsid w:val="00577218"/>
    <w:rsid w:val="0058343E"/>
    <w:rsid w:val="00590438"/>
    <w:rsid w:val="00593EDE"/>
    <w:rsid w:val="00597510"/>
    <w:rsid w:val="005A4350"/>
    <w:rsid w:val="005B5EAF"/>
    <w:rsid w:val="005B75CE"/>
    <w:rsid w:val="005C10B5"/>
    <w:rsid w:val="005D5036"/>
    <w:rsid w:val="005E0F65"/>
    <w:rsid w:val="005F25BE"/>
    <w:rsid w:val="005F6777"/>
    <w:rsid w:val="006031DD"/>
    <w:rsid w:val="00610B6F"/>
    <w:rsid w:val="00610D8E"/>
    <w:rsid w:val="00616839"/>
    <w:rsid w:val="00652350"/>
    <w:rsid w:val="006537BD"/>
    <w:rsid w:val="00657851"/>
    <w:rsid w:val="006626BF"/>
    <w:rsid w:val="00667BF5"/>
    <w:rsid w:val="006727BE"/>
    <w:rsid w:val="006827D7"/>
    <w:rsid w:val="0069235D"/>
    <w:rsid w:val="00692F95"/>
    <w:rsid w:val="00697C02"/>
    <w:rsid w:val="006A1DF3"/>
    <w:rsid w:val="006A4BC7"/>
    <w:rsid w:val="006C55D7"/>
    <w:rsid w:val="006C7DD5"/>
    <w:rsid w:val="006D39CB"/>
    <w:rsid w:val="006D45F8"/>
    <w:rsid w:val="00720A0C"/>
    <w:rsid w:val="00720DDB"/>
    <w:rsid w:val="00727A9D"/>
    <w:rsid w:val="00731555"/>
    <w:rsid w:val="00734AB3"/>
    <w:rsid w:val="00736E90"/>
    <w:rsid w:val="007506A8"/>
    <w:rsid w:val="00756E79"/>
    <w:rsid w:val="00761865"/>
    <w:rsid w:val="00761994"/>
    <w:rsid w:val="00785DB2"/>
    <w:rsid w:val="007B684E"/>
    <w:rsid w:val="007B7A1A"/>
    <w:rsid w:val="007D4C74"/>
    <w:rsid w:val="007D71E6"/>
    <w:rsid w:val="0080288D"/>
    <w:rsid w:val="00812234"/>
    <w:rsid w:val="00813799"/>
    <w:rsid w:val="00833B0B"/>
    <w:rsid w:val="008343F6"/>
    <w:rsid w:val="00834F09"/>
    <w:rsid w:val="0084308F"/>
    <w:rsid w:val="008454EE"/>
    <w:rsid w:val="00853AA9"/>
    <w:rsid w:val="00857EFA"/>
    <w:rsid w:val="00871B4F"/>
    <w:rsid w:val="00876593"/>
    <w:rsid w:val="0087660F"/>
    <w:rsid w:val="008808F1"/>
    <w:rsid w:val="008863E3"/>
    <w:rsid w:val="00892223"/>
    <w:rsid w:val="00893005"/>
    <w:rsid w:val="00894AB4"/>
    <w:rsid w:val="008C1712"/>
    <w:rsid w:val="008E06AF"/>
    <w:rsid w:val="008E3C9B"/>
    <w:rsid w:val="008E42D0"/>
    <w:rsid w:val="008E5E54"/>
    <w:rsid w:val="008F111D"/>
    <w:rsid w:val="008F4DA8"/>
    <w:rsid w:val="00906666"/>
    <w:rsid w:val="00906A0D"/>
    <w:rsid w:val="00927C37"/>
    <w:rsid w:val="0093393B"/>
    <w:rsid w:val="0093627A"/>
    <w:rsid w:val="00936B12"/>
    <w:rsid w:val="00945DC7"/>
    <w:rsid w:val="00947C45"/>
    <w:rsid w:val="009500DA"/>
    <w:rsid w:val="00950824"/>
    <w:rsid w:val="00954745"/>
    <w:rsid w:val="00962DBE"/>
    <w:rsid w:val="00966A72"/>
    <w:rsid w:val="00977A4C"/>
    <w:rsid w:val="00980EBF"/>
    <w:rsid w:val="009813F3"/>
    <w:rsid w:val="009A12DC"/>
    <w:rsid w:val="009B64D9"/>
    <w:rsid w:val="009B6896"/>
    <w:rsid w:val="009C0422"/>
    <w:rsid w:val="009D33E1"/>
    <w:rsid w:val="009D3C25"/>
    <w:rsid w:val="009E653E"/>
    <w:rsid w:val="009F2B8F"/>
    <w:rsid w:val="00A21772"/>
    <w:rsid w:val="00A219E3"/>
    <w:rsid w:val="00A2352F"/>
    <w:rsid w:val="00A24176"/>
    <w:rsid w:val="00A25F4D"/>
    <w:rsid w:val="00A42C2E"/>
    <w:rsid w:val="00A63E6F"/>
    <w:rsid w:val="00A66655"/>
    <w:rsid w:val="00A923D8"/>
    <w:rsid w:val="00A93E13"/>
    <w:rsid w:val="00A95700"/>
    <w:rsid w:val="00AC3610"/>
    <w:rsid w:val="00AC75E8"/>
    <w:rsid w:val="00AD05D2"/>
    <w:rsid w:val="00AD091A"/>
    <w:rsid w:val="00AF0EE5"/>
    <w:rsid w:val="00B14006"/>
    <w:rsid w:val="00B14300"/>
    <w:rsid w:val="00B20A0E"/>
    <w:rsid w:val="00B3759F"/>
    <w:rsid w:val="00B41E57"/>
    <w:rsid w:val="00B4287E"/>
    <w:rsid w:val="00B44057"/>
    <w:rsid w:val="00B5087B"/>
    <w:rsid w:val="00B633A2"/>
    <w:rsid w:val="00B70162"/>
    <w:rsid w:val="00B72245"/>
    <w:rsid w:val="00B77371"/>
    <w:rsid w:val="00B80A90"/>
    <w:rsid w:val="00B85708"/>
    <w:rsid w:val="00B879F0"/>
    <w:rsid w:val="00B974C9"/>
    <w:rsid w:val="00BA41E1"/>
    <w:rsid w:val="00BB23A3"/>
    <w:rsid w:val="00BB49DD"/>
    <w:rsid w:val="00BB740C"/>
    <w:rsid w:val="00BC7200"/>
    <w:rsid w:val="00BD7E69"/>
    <w:rsid w:val="00BF4E0D"/>
    <w:rsid w:val="00C03A2F"/>
    <w:rsid w:val="00C07CC6"/>
    <w:rsid w:val="00C154A5"/>
    <w:rsid w:val="00C15F50"/>
    <w:rsid w:val="00C303DC"/>
    <w:rsid w:val="00C6223F"/>
    <w:rsid w:val="00C63A8D"/>
    <w:rsid w:val="00C63D5D"/>
    <w:rsid w:val="00C70DF6"/>
    <w:rsid w:val="00C73AB1"/>
    <w:rsid w:val="00C82AED"/>
    <w:rsid w:val="00C852E0"/>
    <w:rsid w:val="00C85F2F"/>
    <w:rsid w:val="00C92DDF"/>
    <w:rsid w:val="00CA5AF9"/>
    <w:rsid w:val="00CA68D5"/>
    <w:rsid w:val="00CA7B9E"/>
    <w:rsid w:val="00CB53F2"/>
    <w:rsid w:val="00CC09FB"/>
    <w:rsid w:val="00CC7374"/>
    <w:rsid w:val="00CD6347"/>
    <w:rsid w:val="00CF21D8"/>
    <w:rsid w:val="00CF639E"/>
    <w:rsid w:val="00D0231B"/>
    <w:rsid w:val="00D02D54"/>
    <w:rsid w:val="00D056A7"/>
    <w:rsid w:val="00D123BB"/>
    <w:rsid w:val="00D21AF9"/>
    <w:rsid w:val="00D615A9"/>
    <w:rsid w:val="00D63546"/>
    <w:rsid w:val="00D87220"/>
    <w:rsid w:val="00DA3B49"/>
    <w:rsid w:val="00DC1519"/>
    <w:rsid w:val="00DD14F6"/>
    <w:rsid w:val="00DD208F"/>
    <w:rsid w:val="00DD670A"/>
    <w:rsid w:val="00DE0A03"/>
    <w:rsid w:val="00DF2A5B"/>
    <w:rsid w:val="00DF68E9"/>
    <w:rsid w:val="00E012DC"/>
    <w:rsid w:val="00E051A2"/>
    <w:rsid w:val="00E141AA"/>
    <w:rsid w:val="00E169D1"/>
    <w:rsid w:val="00E2003F"/>
    <w:rsid w:val="00E22ECD"/>
    <w:rsid w:val="00E36AA8"/>
    <w:rsid w:val="00E413A2"/>
    <w:rsid w:val="00E60225"/>
    <w:rsid w:val="00E63667"/>
    <w:rsid w:val="00E6763F"/>
    <w:rsid w:val="00E725C8"/>
    <w:rsid w:val="00E72C67"/>
    <w:rsid w:val="00E75B4A"/>
    <w:rsid w:val="00E9788D"/>
    <w:rsid w:val="00EA0EC7"/>
    <w:rsid w:val="00EA1481"/>
    <w:rsid w:val="00EB5DC7"/>
    <w:rsid w:val="00EB6554"/>
    <w:rsid w:val="00EC17F2"/>
    <w:rsid w:val="00EE1FD4"/>
    <w:rsid w:val="00EE67DB"/>
    <w:rsid w:val="00EF1284"/>
    <w:rsid w:val="00EF48B2"/>
    <w:rsid w:val="00EF5F70"/>
    <w:rsid w:val="00F0021D"/>
    <w:rsid w:val="00F01EBE"/>
    <w:rsid w:val="00F05575"/>
    <w:rsid w:val="00F05BBA"/>
    <w:rsid w:val="00F14C0A"/>
    <w:rsid w:val="00F16FB4"/>
    <w:rsid w:val="00F224AA"/>
    <w:rsid w:val="00F329C4"/>
    <w:rsid w:val="00F35EA3"/>
    <w:rsid w:val="00F377D1"/>
    <w:rsid w:val="00F41E39"/>
    <w:rsid w:val="00F44B09"/>
    <w:rsid w:val="00F51EBC"/>
    <w:rsid w:val="00F55F84"/>
    <w:rsid w:val="00F633A7"/>
    <w:rsid w:val="00F6376B"/>
    <w:rsid w:val="00F70FB2"/>
    <w:rsid w:val="00F72C95"/>
    <w:rsid w:val="00F74090"/>
    <w:rsid w:val="00F75F4C"/>
    <w:rsid w:val="00F80096"/>
    <w:rsid w:val="00F84177"/>
    <w:rsid w:val="00FA561A"/>
    <w:rsid w:val="00FB19BD"/>
    <w:rsid w:val="00FC792C"/>
    <w:rsid w:val="00FE1154"/>
    <w:rsid w:val="00FE6C74"/>
    <w:rsid w:val="00FF7E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8EC4"/>
  <w15:docId w15:val="{43E347F9-CF7A-4103-8D1E-5182A850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D47"/>
    <w:pPr>
      <w:spacing w:after="200" w:line="360" w:lineRule="auto"/>
      <w:jc w:val="both"/>
    </w:pPr>
    <w:rPr>
      <w:rFonts w:ascii="Calibri" w:hAnsi="Calibri"/>
      <w:sz w:val="22"/>
      <w:lang w:val="es-ES_tradnl"/>
    </w:rPr>
  </w:style>
  <w:style w:type="paragraph" w:styleId="Ttulo1">
    <w:name w:val="heading 1"/>
    <w:basedOn w:val="Normal"/>
    <w:next w:val="Normal"/>
    <w:link w:val="Ttulo1Car"/>
    <w:qFormat/>
    <w:rsid w:val="00332118"/>
    <w:pPr>
      <w:keepNext/>
      <w:pBdr>
        <w:bottom w:val="single" w:sz="4" w:space="1" w:color="auto"/>
      </w:pBdr>
      <w:jc w:val="left"/>
      <w:outlineLvl w:val="0"/>
    </w:pPr>
    <w:rPr>
      <w:b/>
      <w:sz w:val="28"/>
    </w:rPr>
  </w:style>
  <w:style w:type="paragraph" w:styleId="Ttulo2">
    <w:name w:val="heading 2"/>
    <w:basedOn w:val="Normal"/>
    <w:next w:val="Normal"/>
    <w:qFormat/>
    <w:rsid w:val="00332118"/>
    <w:pPr>
      <w:keepNext/>
      <w:widowControl w:val="0"/>
      <w:jc w:val="left"/>
      <w:outlineLvl w:val="1"/>
    </w:pPr>
    <w:rPr>
      <w:b/>
      <w:sz w:val="24"/>
    </w:rPr>
  </w:style>
  <w:style w:type="paragraph" w:styleId="Ttulo3">
    <w:name w:val="heading 3"/>
    <w:basedOn w:val="Normal"/>
    <w:next w:val="Normal"/>
    <w:qFormat/>
    <w:rsid w:val="00447B27"/>
    <w:pPr>
      <w:keepNext/>
      <w:outlineLvl w:val="2"/>
    </w:pPr>
    <w:rPr>
      <w:b/>
      <w:snapToGrid w:val="0"/>
      <w:color w:val="000000"/>
      <w:sz w:val="18"/>
    </w:rPr>
  </w:style>
  <w:style w:type="paragraph" w:styleId="Ttulo4">
    <w:name w:val="heading 4"/>
    <w:basedOn w:val="Normal"/>
    <w:next w:val="Normal"/>
    <w:link w:val="Ttulo4Car"/>
    <w:uiPriority w:val="9"/>
    <w:unhideWhenUsed/>
    <w:qFormat/>
    <w:rsid w:val="00447B27"/>
    <w:pPr>
      <w:keepNext/>
      <w:spacing w:before="240" w:after="60"/>
      <w:outlineLvl w:val="3"/>
    </w:pPr>
    <w:rPr>
      <w:b/>
      <w:bCs/>
      <w:sz w:val="28"/>
      <w:szCs w:val="28"/>
    </w:rPr>
  </w:style>
  <w:style w:type="paragraph" w:styleId="Ttulo5">
    <w:name w:val="heading 5"/>
    <w:basedOn w:val="Normal"/>
    <w:next w:val="Normal"/>
    <w:link w:val="Ttulo5Car"/>
    <w:uiPriority w:val="9"/>
    <w:unhideWhenUsed/>
    <w:qFormat/>
    <w:rsid w:val="00E169D1"/>
    <w:pPr>
      <w:spacing w:before="240" w:after="60"/>
      <w:outlineLvl w:val="4"/>
    </w:pPr>
    <w:rPr>
      <w:b/>
      <w:bCs/>
      <w:i/>
      <w:iCs/>
      <w:sz w:val="26"/>
      <w:szCs w:val="26"/>
    </w:rPr>
  </w:style>
  <w:style w:type="paragraph" w:styleId="Ttulo6">
    <w:name w:val="heading 6"/>
    <w:basedOn w:val="Normal"/>
    <w:next w:val="Normal"/>
    <w:link w:val="Ttulo6Car"/>
    <w:uiPriority w:val="9"/>
    <w:unhideWhenUsed/>
    <w:qFormat/>
    <w:rsid w:val="00E169D1"/>
    <w:pPr>
      <w:spacing w:before="240" w:after="60"/>
      <w:outlineLvl w:val="5"/>
    </w:pPr>
    <w:rPr>
      <w:b/>
      <w:bCs/>
      <w:szCs w:val="22"/>
    </w:rPr>
  </w:style>
  <w:style w:type="paragraph" w:styleId="Ttulo7">
    <w:name w:val="heading 7"/>
    <w:basedOn w:val="Normal"/>
    <w:next w:val="Normal"/>
    <w:link w:val="Ttulo7Car"/>
    <w:uiPriority w:val="9"/>
    <w:unhideWhenUsed/>
    <w:qFormat/>
    <w:rsid w:val="00E169D1"/>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notapie">
    <w:name w:val="footnote text"/>
    <w:basedOn w:val="Normal"/>
    <w:link w:val="TextonotapieCar"/>
    <w:uiPriority w:val="99"/>
  </w:style>
  <w:style w:type="character" w:styleId="Refdenotaalpie">
    <w:name w:val="footnote reference"/>
    <w:uiPriority w:val="99"/>
    <w:semiHidden/>
    <w:rPr>
      <w:vertAlign w:val="superscript"/>
    </w:rPr>
  </w:style>
  <w:style w:type="paragraph" w:styleId="Ttulo">
    <w:name w:val="Title"/>
    <w:basedOn w:val="Normal"/>
    <w:qFormat/>
    <w:rsid w:val="0057354B"/>
    <w:pPr>
      <w:widowControl w:val="0"/>
      <w:jc w:val="left"/>
    </w:pPr>
    <w:rPr>
      <w:b/>
      <w:sz w:val="28"/>
    </w:rPr>
  </w:style>
  <w:style w:type="paragraph" w:styleId="Textoindependiente">
    <w:name w:val="Body Text"/>
    <w:basedOn w:val="Normal"/>
    <w:semiHidden/>
    <w:pPr>
      <w:jc w:val="center"/>
    </w:pPr>
    <w:rPr>
      <w:rFonts w:ascii="Arial" w:hAnsi="Arial"/>
      <w:b/>
      <w:sz w:val="28"/>
    </w:rPr>
  </w:style>
  <w:style w:type="paragraph" w:styleId="Sangradetextonormal">
    <w:name w:val="Body Text Indent"/>
    <w:basedOn w:val="Normal"/>
    <w:semiHidden/>
    <w:pPr>
      <w:widowControl w:val="0"/>
      <w:ind w:left="426"/>
    </w:pPr>
    <w:rPr>
      <w:rFonts w:ascii="Arial" w:hAnsi="Arial"/>
      <w:b/>
      <w:sz w:val="24"/>
    </w:rPr>
  </w:style>
  <w:style w:type="paragraph" w:styleId="Textoindependiente2">
    <w:name w:val="Body Text 2"/>
    <w:basedOn w:val="Normal"/>
    <w:semiHidden/>
    <w:rPr>
      <w:rFonts w:ascii="Arial" w:hAnsi="Arial"/>
      <w:sz w:val="28"/>
    </w:rPr>
  </w:style>
  <w:style w:type="paragraph" w:styleId="Textoindependiente3">
    <w:name w:val="Body Text 3"/>
    <w:basedOn w:val="Normal"/>
    <w:semiHidden/>
    <w:pPr>
      <w:spacing w:line="312" w:lineRule="auto"/>
    </w:pPr>
    <w:rPr>
      <w:rFonts w:ascii="Arial" w:hAnsi="Arial"/>
      <w:b/>
      <w:sz w:val="24"/>
    </w:rPr>
  </w:style>
  <w:style w:type="character" w:styleId="Hipervnculo">
    <w:name w:val="Hyperlink"/>
    <w:semiHidden/>
    <w:rPr>
      <w:color w:val="0000FF"/>
      <w:u w:val="single"/>
    </w:rPr>
  </w:style>
  <w:style w:type="paragraph" w:styleId="Textodebloque">
    <w:name w:val="Block Text"/>
    <w:basedOn w:val="Normal"/>
    <w:semiHidden/>
    <w:pPr>
      <w:ind w:left="284" w:right="566"/>
      <w:jc w:val="center"/>
    </w:pPr>
    <w:rPr>
      <w:b/>
      <w:sz w:val="32"/>
      <w:u w:val="single"/>
    </w:rPr>
  </w:style>
  <w:style w:type="paragraph" w:styleId="Sangra2detindependiente">
    <w:name w:val="Body Text Indent 2"/>
    <w:basedOn w:val="Normal"/>
    <w:semiHidden/>
    <w:pPr>
      <w:ind w:left="851"/>
    </w:pPr>
    <w:rPr>
      <w:b/>
      <w:sz w:val="24"/>
    </w:rPr>
  </w:style>
  <w:style w:type="paragraph" w:styleId="Sangra3detindependiente">
    <w:name w:val="Body Text Indent 3"/>
    <w:basedOn w:val="Normal"/>
    <w:semiHidden/>
    <w:pPr>
      <w:ind w:left="284"/>
    </w:pPr>
    <w:rPr>
      <w:sz w:val="24"/>
    </w:rPr>
  </w:style>
  <w:style w:type="character" w:styleId="Nmerodepgina">
    <w:name w:val="page number"/>
    <w:basedOn w:val="Fuentedeprrafopredeter"/>
    <w:semiHidden/>
  </w:style>
  <w:style w:type="character" w:styleId="Hipervnculovisitado">
    <w:name w:val="FollowedHyperlink"/>
    <w:semiHidden/>
    <w:rPr>
      <w:color w:val="800080"/>
      <w:u w:val="single"/>
    </w:rPr>
  </w:style>
  <w:style w:type="paragraph" w:styleId="Mapadeldocumento">
    <w:name w:val="Document Map"/>
    <w:basedOn w:val="Normal"/>
    <w:semiHidden/>
    <w:pPr>
      <w:shd w:val="clear" w:color="auto" w:fill="000080"/>
    </w:pPr>
    <w:rPr>
      <w:rFonts w:ascii="Tahoma" w:hAnsi="Tahoma" w:cs="Tahoma"/>
    </w:rPr>
  </w:style>
  <w:style w:type="character" w:customStyle="1" w:styleId="Ttulo4Car">
    <w:name w:val="Título 4 Car"/>
    <w:link w:val="Ttulo4"/>
    <w:uiPriority w:val="9"/>
    <w:rsid w:val="00447B27"/>
    <w:rPr>
      <w:rFonts w:ascii="Calibri" w:eastAsia="Times New Roman" w:hAnsi="Calibri" w:cs="Times New Roman"/>
      <w:b/>
      <w:bCs/>
      <w:sz w:val="28"/>
      <w:szCs w:val="28"/>
      <w:lang w:val="es-ES_tradnl"/>
    </w:rPr>
  </w:style>
  <w:style w:type="paragraph" w:styleId="Sinespaciado">
    <w:name w:val="No Spacing"/>
    <w:uiPriority w:val="1"/>
    <w:qFormat/>
    <w:rsid w:val="00447B27"/>
    <w:rPr>
      <w:rFonts w:ascii="Calibri" w:hAnsi="Calibri"/>
      <w:sz w:val="22"/>
      <w:lang w:val="es-ES_tradnl"/>
    </w:rPr>
  </w:style>
  <w:style w:type="paragraph" w:styleId="Subttulo">
    <w:name w:val="Subtitle"/>
    <w:basedOn w:val="Normal"/>
    <w:next w:val="Normal"/>
    <w:link w:val="SubttuloCar"/>
    <w:uiPriority w:val="11"/>
    <w:qFormat/>
    <w:rsid w:val="0057354B"/>
    <w:pPr>
      <w:spacing w:after="60"/>
      <w:jc w:val="left"/>
      <w:outlineLvl w:val="1"/>
    </w:pPr>
    <w:rPr>
      <w:i/>
      <w:sz w:val="24"/>
      <w:szCs w:val="24"/>
    </w:rPr>
  </w:style>
  <w:style w:type="character" w:customStyle="1" w:styleId="SubttuloCar">
    <w:name w:val="Subtítulo Car"/>
    <w:link w:val="Subttulo"/>
    <w:uiPriority w:val="11"/>
    <w:rsid w:val="0057354B"/>
    <w:rPr>
      <w:rFonts w:ascii="Calibri" w:hAnsi="Calibri"/>
      <w:i/>
      <w:sz w:val="24"/>
      <w:szCs w:val="24"/>
      <w:lang w:val="es-ES_tradnl"/>
    </w:rPr>
  </w:style>
  <w:style w:type="character" w:styleId="nfasissutil">
    <w:name w:val="Subtle Emphasis"/>
    <w:uiPriority w:val="19"/>
    <w:qFormat/>
    <w:rsid w:val="00447B27"/>
    <w:rPr>
      <w:rFonts w:ascii="Calibri" w:hAnsi="Calibri"/>
      <w:i/>
      <w:iCs/>
      <w:color w:val="808080"/>
      <w:sz w:val="22"/>
    </w:rPr>
  </w:style>
  <w:style w:type="character" w:styleId="nfasis">
    <w:name w:val="Emphasis"/>
    <w:uiPriority w:val="20"/>
    <w:qFormat/>
    <w:rsid w:val="00447B27"/>
    <w:rPr>
      <w:rFonts w:ascii="Calibri" w:hAnsi="Calibri"/>
      <w:i/>
      <w:iCs/>
      <w:sz w:val="22"/>
    </w:rPr>
  </w:style>
  <w:style w:type="character" w:styleId="nfasisintenso">
    <w:name w:val="Intense Emphasis"/>
    <w:uiPriority w:val="21"/>
    <w:rsid w:val="00447B27"/>
    <w:rPr>
      <w:b/>
      <w:bCs/>
      <w:i/>
      <w:iCs/>
      <w:color w:val="4F81BD"/>
    </w:rPr>
  </w:style>
  <w:style w:type="character" w:styleId="Fuerte">
    <w:name w:val="Strong"/>
    <w:uiPriority w:val="22"/>
    <w:qFormat/>
    <w:rsid w:val="00447B27"/>
    <w:rPr>
      <w:rFonts w:ascii="Calibri" w:hAnsi="Calibri"/>
      <w:b/>
      <w:bCs/>
      <w:sz w:val="22"/>
    </w:rPr>
  </w:style>
  <w:style w:type="character" w:styleId="Referenciasutil">
    <w:name w:val="Subtle Reference"/>
    <w:uiPriority w:val="31"/>
    <w:qFormat/>
    <w:rsid w:val="00447B27"/>
    <w:rPr>
      <w:rFonts w:ascii="Calibri" w:hAnsi="Calibri"/>
      <w:smallCaps/>
      <w:color w:val="000000"/>
      <w:sz w:val="22"/>
      <w:u w:val="single"/>
    </w:rPr>
  </w:style>
  <w:style w:type="paragraph" w:styleId="Prrafodelista">
    <w:name w:val="List Paragraph"/>
    <w:basedOn w:val="Normal"/>
    <w:uiPriority w:val="34"/>
    <w:qFormat/>
    <w:rsid w:val="00447B27"/>
    <w:pPr>
      <w:ind w:left="708"/>
    </w:pPr>
  </w:style>
  <w:style w:type="character" w:styleId="Ttulodellibro">
    <w:name w:val="Book Title"/>
    <w:uiPriority w:val="33"/>
    <w:qFormat/>
    <w:rsid w:val="00447B27"/>
    <w:rPr>
      <w:rFonts w:ascii="Calibri" w:hAnsi="Calibri"/>
      <w:b/>
      <w:bCs/>
      <w:smallCaps/>
      <w:spacing w:val="5"/>
      <w:sz w:val="22"/>
    </w:rPr>
  </w:style>
  <w:style w:type="character" w:customStyle="1" w:styleId="TextonotapieCar">
    <w:name w:val="Texto nota pie Car"/>
    <w:link w:val="Textonotapie"/>
    <w:uiPriority w:val="99"/>
    <w:rsid w:val="003A357D"/>
    <w:rPr>
      <w:rFonts w:ascii="Calibri" w:hAnsi="Calibri"/>
      <w:sz w:val="22"/>
      <w:lang w:val="es-ES_tradnl"/>
    </w:rPr>
  </w:style>
  <w:style w:type="paragraph" w:styleId="Cita">
    <w:name w:val="Quote"/>
    <w:basedOn w:val="Normal"/>
    <w:next w:val="Normal"/>
    <w:link w:val="CitaCar"/>
    <w:uiPriority w:val="29"/>
    <w:qFormat/>
    <w:rsid w:val="004D113D"/>
    <w:rPr>
      <w:i/>
      <w:iCs/>
      <w:color w:val="000000"/>
    </w:rPr>
  </w:style>
  <w:style w:type="character" w:customStyle="1" w:styleId="CitaCar">
    <w:name w:val="Cita Car"/>
    <w:link w:val="Cita"/>
    <w:uiPriority w:val="29"/>
    <w:rsid w:val="004D113D"/>
    <w:rPr>
      <w:rFonts w:ascii="Calibri" w:hAnsi="Calibri"/>
      <w:i/>
      <w:iCs/>
      <w:color w:val="000000"/>
      <w:sz w:val="22"/>
      <w:lang w:val="es-ES_tradnl"/>
    </w:rPr>
  </w:style>
  <w:style w:type="character" w:customStyle="1" w:styleId="Ttulo5Car">
    <w:name w:val="Título 5 Car"/>
    <w:link w:val="Ttulo5"/>
    <w:uiPriority w:val="9"/>
    <w:rsid w:val="00E169D1"/>
    <w:rPr>
      <w:rFonts w:ascii="Calibri" w:eastAsia="Times New Roman" w:hAnsi="Calibri" w:cs="Times New Roman"/>
      <w:b/>
      <w:bCs/>
      <w:i/>
      <w:iCs/>
      <w:sz w:val="26"/>
      <w:szCs w:val="26"/>
      <w:lang w:val="es-ES_tradnl"/>
    </w:rPr>
  </w:style>
  <w:style w:type="character" w:customStyle="1" w:styleId="Ttulo6Car">
    <w:name w:val="Título 6 Car"/>
    <w:link w:val="Ttulo6"/>
    <w:uiPriority w:val="9"/>
    <w:rsid w:val="00E169D1"/>
    <w:rPr>
      <w:rFonts w:ascii="Calibri" w:eastAsia="Times New Roman" w:hAnsi="Calibri" w:cs="Times New Roman"/>
      <w:b/>
      <w:bCs/>
      <w:sz w:val="22"/>
      <w:szCs w:val="22"/>
      <w:lang w:val="es-ES_tradnl"/>
    </w:rPr>
  </w:style>
  <w:style w:type="character" w:customStyle="1" w:styleId="Ttulo7Car">
    <w:name w:val="Título 7 Car"/>
    <w:link w:val="Ttulo7"/>
    <w:uiPriority w:val="9"/>
    <w:rsid w:val="00E169D1"/>
    <w:rPr>
      <w:rFonts w:ascii="Calibri" w:eastAsia="Times New Roman" w:hAnsi="Calibri" w:cs="Times New Roman"/>
      <w:sz w:val="24"/>
      <w:szCs w:val="24"/>
      <w:lang w:val="es-ES_tradnl"/>
    </w:rPr>
  </w:style>
  <w:style w:type="paragraph" w:customStyle="1" w:styleId="organismos">
    <w:name w:val="organismos"/>
    <w:qFormat/>
    <w:rsid w:val="005F6777"/>
    <w:pPr>
      <w:framePr w:hSpace="142" w:vSpace="1134" w:wrap="around" w:vAnchor="text" w:hAnchor="margin" w:xAlign="right" w:y="398"/>
      <w:tabs>
        <w:tab w:val="left" w:pos="1042"/>
        <w:tab w:val="left" w:pos="8080"/>
      </w:tabs>
      <w:spacing w:line="160" w:lineRule="exact"/>
      <w:ind w:left="192" w:right="-79" w:hanging="142"/>
      <w:suppressOverlap/>
    </w:pPr>
    <w:rPr>
      <w:rFonts w:ascii="Gill Sans MT" w:hAnsi="Gill Sans MT"/>
      <w:sz w:val="14"/>
      <w:lang w:val="es-ES_tradnl"/>
    </w:rPr>
  </w:style>
  <w:style w:type="table" w:styleId="Tablaconcuadrcula">
    <w:name w:val="Table Grid"/>
    <w:basedOn w:val="Tablanormal"/>
    <w:uiPriority w:val="59"/>
    <w:rsid w:val="003E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77D1"/>
    <w:pPr>
      <w:spacing w:before="100" w:beforeAutospacing="1" w:after="100" w:afterAutospacing="1" w:line="240" w:lineRule="auto"/>
      <w:jc w:val="left"/>
    </w:pPr>
    <w:rPr>
      <w:rFonts w:ascii="Times New Roman" w:hAnsi="Times New Roman"/>
      <w:sz w:val="24"/>
      <w:szCs w:val="24"/>
      <w:lang w:val="es-ES"/>
    </w:rPr>
  </w:style>
  <w:style w:type="paragraph" w:customStyle="1" w:styleId="textstore">
    <w:name w:val="textstore"/>
    <w:basedOn w:val="Normal"/>
    <w:rsid w:val="00F377D1"/>
    <w:pPr>
      <w:spacing w:before="100" w:beforeAutospacing="1" w:after="100" w:afterAutospacing="1" w:line="240" w:lineRule="auto"/>
      <w:jc w:val="left"/>
    </w:pPr>
    <w:rPr>
      <w:rFonts w:ascii="Times New Roman" w:hAnsi="Times New Roman"/>
      <w:sz w:val="24"/>
      <w:szCs w:val="24"/>
      <w:lang w:val="es-ES"/>
    </w:rPr>
  </w:style>
  <w:style w:type="paragraph" w:styleId="Textodeglobo">
    <w:name w:val="Balloon Text"/>
    <w:basedOn w:val="Normal"/>
    <w:link w:val="TextodegloboCar"/>
    <w:uiPriority w:val="99"/>
    <w:semiHidden/>
    <w:unhideWhenUsed/>
    <w:rsid w:val="00C92D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2DDF"/>
    <w:rPr>
      <w:rFonts w:ascii="Tahoma" w:hAnsi="Tahoma" w:cs="Tahoma"/>
      <w:sz w:val="16"/>
      <w:szCs w:val="16"/>
      <w:lang w:val="es-ES_tradnl"/>
    </w:rPr>
  </w:style>
  <w:style w:type="paragraph" w:customStyle="1" w:styleId="Default">
    <w:name w:val="Default"/>
    <w:rsid w:val="003F2667"/>
    <w:pPr>
      <w:autoSpaceDE w:val="0"/>
      <w:autoSpaceDN w:val="0"/>
      <w:adjustRightInd w:val="0"/>
    </w:pPr>
    <w:rPr>
      <w:rFonts w:ascii="Arial" w:hAnsi="Arial" w:cs="Arial"/>
      <w:color w:val="000000"/>
      <w:sz w:val="24"/>
      <w:szCs w:val="24"/>
    </w:rPr>
  </w:style>
  <w:style w:type="character" w:styleId="Mencinsinresolver">
    <w:name w:val="Unresolved Mention"/>
    <w:basedOn w:val="Fuentedeprrafopredeter"/>
    <w:uiPriority w:val="99"/>
    <w:semiHidden/>
    <w:unhideWhenUsed/>
    <w:rsid w:val="005B75CE"/>
    <w:rPr>
      <w:color w:val="605E5C"/>
      <w:shd w:val="clear" w:color="auto" w:fill="E1DFDD"/>
    </w:rPr>
  </w:style>
  <w:style w:type="character" w:customStyle="1" w:styleId="normaltextrun">
    <w:name w:val="normaltextrun"/>
    <w:basedOn w:val="Fuentedeprrafopredeter"/>
    <w:rsid w:val="00F72C95"/>
  </w:style>
  <w:style w:type="paragraph" w:customStyle="1" w:styleId="paragraph">
    <w:name w:val="paragraph"/>
    <w:basedOn w:val="Normal"/>
    <w:rsid w:val="00F72C95"/>
    <w:pPr>
      <w:spacing w:before="100" w:beforeAutospacing="1" w:after="100" w:afterAutospacing="1" w:line="240" w:lineRule="auto"/>
      <w:jc w:val="left"/>
    </w:pPr>
    <w:rPr>
      <w:rFonts w:ascii="Times New Roman" w:hAnsi="Times New Roman"/>
      <w:sz w:val="24"/>
      <w:szCs w:val="24"/>
      <w:lang w:val="sl-SI" w:eastAsia="sl-SI"/>
    </w:rPr>
  </w:style>
  <w:style w:type="character" w:styleId="Refdecomentario">
    <w:name w:val="annotation reference"/>
    <w:basedOn w:val="Fuentedeprrafopredeter"/>
    <w:uiPriority w:val="99"/>
    <w:semiHidden/>
    <w:unhideWhenUsed/>
    <w:rsid w:val="00950824"/>
    <w:rPr>
      <w:sz w:val="16"/>
      <w:szCs w:val="16"/>
    </w:rPr>
  </w:style>
  <w:style w:type="paragraph" w:styleId="Textocomentario">
    <w:name w:val="annotation text"/>
    <w:basedOn w:val="Normal"/>
    <w:link w:val="TextocomentarioCar"/>
    <w:uiPriority w:val="99"/>
    <w:semiHidden/>
    <w:unhideWhenUsed/>
    <w:rsid w:val="00950824"/>
    <w:pPr>
      <w:spacing w:line="240" w:lineRule="auto"/>
    </w:pPr>
    <w:rPr>
      <w:sz w:val="20"/>
    </w:rPr>
  </w:style>
  <w:style w:type="character" w:customStyle="1" w:styleId="TextocomentarioCar">
    <w:name w:val="Texto comentario Car"/>
    <w:basedOn w:val="Fuentedeprrafopredeter"/>
    <w:link w:val="Textocomentario"/>
    <w:uiPriority w:val="99"/>
    <w:semiHidden/>
    <w:rsid w:val="00950824"/>
    <w:rPr>
      <w:rFonts w:ascii="Calibri" w:hAnsi="Calibri"/>
      <w:lang w:val="es-ES_tradnl"/>
    </w:rPr>
  </w:style>
  <w:style w:type="paragraph" w:styleId="Asuntodelcomentario">
    <w:name w:val="annotation subject"/>
    <w:basedOn w:val="Textocomentario"/>
    <w:next w:val="Textocomentario"/>
    <w:link w:val="AsuntodelcomentarioCar"/>
    <w:uiPriority w:val="99"/>
    <w:semiHidden/>
    <w:unhideWhenUsed/>
    <w:rsid w:val="00950824"/>
    <w:rPr>
      <w:b/>
      <w:bCs/>
    </w:rPr>
  </w:style>
  <w:style w:type="character" w:customStyle="1" w:styleId="AsuntodelcomentarioCar">
    <w:name w:val="Asunto del comentario Car"/>
    <w:basedOn w:val="TextocomentarioCar"/>
    <w:link w:val="Asuntodelcomentario"/>
    <w:uiPriority w:val="99"/>
    <w:semiHidden/>
    <w:rsid w:val="00950824"/>
    <w:rPr>
      <w:rFonts w:ascii="Calibri" w:hAnsi="Calibri"/>
      <w:b/>
      <w:bCs/>
      <w:lang w:val="es-ES_tradnl"/>
    </w:rPr>
  </w:style>
  <w:style w:type="character" w:customStyle="1" w:styleId="Ttulo1Car">
    <w:name w:val="Título 1 Car"/>
    <w:basedOn w:val="Fuentedeprrafopredeter"/>
    <w:link w:val="Ttulo1"/>
    <w:rsid w:val="00DF68E9"/>
    <w:rPr>
      <w:rFonts w:ascii="Calibri" w:hAnsi="Calibri"/>
      <w:b/>
      <w:sz w:val="28"/>
      <w:lang w:val="es-ES_tradnl"/>
    </w:rPr>
  </w:style>
  <w:style w:type="paragraph" w:customStyle="1" w:styleId="parrafo2">
    <w:name w:val="parrafo_2"/>
    <w:basedOn w:val="Normal"/>
    <w:rsid w:val="002C2132"/>
    <w:pPr>
      <w:spacing w:before="100" w:beforeAutospacing="1" w:after="100" w:afterAutospacing="1" w:line="240" w:lineRule="auto"/>
      <w:jc w:val="left"/>
    </w:pPr>
    <w:rPr>
      <w:rFonts w:ascii="Times New Roman" w:hAnsi="Times New Roman"/>
      <w:sz w:val="24"/>
      <w:szCs w:val="24"/>
      <w:lang w:val="es-ES"/>
    </w:rPr>
  </w:style>
  <w:style w:type="paragraph" w:customStyle="1" w:styleId="parrafo">
    <w:name w:val="parrafo"/>
    <w:basedOn w:val="Normal"/>
    <w:rsid w:val="002C2132"/>
    <w:pPr>
      <w:spacing w:before="100" w:beforeAutospacing="1" w:after="100" w:afterAutospacing="1" w:line="240" w:lineRule="auto"/>
      <w:jc w:val="left"/>
    </w:pPr>
    <w:rPr>
      <w:rFonts w:ascii="Times New Roman" w:hAnsi="Times New Roman"/>
      <w:sz w:val="24"/>
      <w:szCs w:val="24"/>
      <w:lang w:val="es-ES"/>
    </w:rPr>
  </w:style>
  <w:style w:type="character" w:customStyle="1" w:styleId="eop">
    <w:name w:val="eop"/>
    <w:basedOn w:val="Fuentedeprrafopredeter"/>
    <w:rsid w:val="00927C37"/>
  </w:style>
  <w:style w:type="paragraph" w:customStyle="1" w:styleId="ITberschrift1">
    <w:name w:val="IT Überschrift 1"/>
    <w:next w:val="Normal"/>
    <w:qFormat/>
    <w:rsid w:val="00927C37"/>
    <w:pPr>
      <w:pageBreakBefore/>
      <w:widowControl w:val="0"/>
      <w:numPr>
        <w:numId w:val="5"/>
      </w:numPr>
      <w:tabs>
        <w:tab w:val="clear" w:pos="720"/>
        <w:tab w:val="num" w:pos="964"/>
      </w:tabs>
      <w:spacing w:after="320"/>
      <w:ind w:left="964" w:hanging="680"/>
      <w:outlineLvl w:val="0"/>
    </w:pPr>
    <w:rPr>
      <w:rFonts w:ascii="Arial" w:hAnsi="Arial"/>
      <w:b/>
      <w:sz w:val="32"/>
      <w:lang w:val="de-DE" w:eastAsia="de-DE"/>
    </w:rPr>
  </w:style>
  <w:style w:type="paragraph" w:customStyle="1" w:styleId="ITberschrift11">
    <w:name w:val="IT Überschrift 1.1"/>
    <w:next w:val="Normal"/>
    <w:qFormat/>
    <w:rsid w:val="00927C37"/>
    <w:pPr>
      <w:keepNext/>
      <w:numPr>
        <w:ilvl w:val="1"/>
        <w:numId w:val="5"/>
      </w:numPr>
      <w:tabs>
        <w:tab w:val="clear" w:pos="1440"/>
        <w:tab w:val="num" w:pos="1106"/>
      </w:tabs>
      <w:spacing w:before="180" w:after="120" w:line="276" w:lineRule="auto"/>
      <w:ind w:left="1106" w:hanging="680"/>
      <w:jc w:val="both"/>
      <w:outlineLvl w:val="1"/>
    </w:pPr>
    <w:rPr>
      <w:b/>
      <w:sz w:val="22"/>
      <w:szCs w:val="22"/>
      <w:lang w:val="en-IE" w:eastAsia="de-DE"/>
    </w:rPr>
  </w:style>
  <w:style w:type="paragraph" w:customStyle="1" w:styleId="ITberschrift111">
    <w:name w:val="IT Überschrift 1.1.1"/>
    <w:next w:val="Normal"/>
    <w:qFormat/>
    <w:rsid w:val="00927C37"/>
    <w:pPr>
      <w:numPr>
        <w:ilvl w:val="2"/>
        <w:numId w:val="5"/>
      </w:numPr>
      <w:tabs>
        <w:tab w:val="clear" w:pos="2160"/>
        <w:tab w:val="num" w:pos="1135"/>
      </w:tabs>
      <w:spacing w:before="160" w:after="120" w:line="280" w:lineRule="exact"/>
      <w:ind w:left="1135" w:hanging="851"/>
      <w:outlineLvl w:val="2"/>
    </w:pPr>
    <w:rPr>
      <w:b/>
      <w:i/>
      <w:sz w:val="22"/>
      <w:szCs w:val="22"/>
      <w:lang w:val="de-DE" w:eastAsia="de-DE"/>
    </w:rPr>
  </w:style>
  <w:style w:type="character" w:customStyle="1" w:styleId="PiedepginaCar">
    <w:name w:val="Pie de página Car"/>
    <w:basedOn w:val="Fuentedeprrafopredeter"/>
    <w:link w:val="Piedepgina"/>
    <w:uiPriority w:val="99"/>
    <w:rsid w:val="00657851"/>
    <w:rPr>
      <w:rFonts w:ascii="Calibri" w:hAnsi="Calibri"/>
      <w:sz w:val="22"/>
      <w:lang w:val="es-ES_tradnl"/>
    </w:rPr>
  </w:style>
  <w:style w:type="paragraph" w:styleId="Revisin">
    <w:name w:val="Revision"/>
    <w:hidden/>
    <w:uiPriority w:val="99"/>
    <w:semiHidden/>
    <w:rsid w:val="00EE67DB"/>
    <w:rPr>
      <w:rFonts w:ascii="Calibri" w:hAnsi="Calibri"/>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90178">
      <w:bodyDiv w:val="1"/>
      <w:marLeft w:val="0"/>
      <w:marRight w:val="0"/>
      <w:marTop w:val="0"/>
      <w:marBottom w:val="0"/>
      <w:divBdr>
        <w:top w:val="none" w:sz="0" w:space="0" w:color="auto"/>
        <w:left w:val="none" w:sz="0" w:space="0" w:color="auto"/>
        <w:bottom w:val="none" w:sz="0" w:space="0" w:color="auto"/>
        <w:right w:val="none" w:sz="0" w:space="0" w:color="auto"/>
      </w:divBdr>
      <w:divsChild>
        <w:div w:id="2063795394">
          <w:marLeft w:val="0"/>
          <w:marRight w:val="0"/>
          <w:marTop w:val="0"/>
          <w:marBottom w:val="0"/>
          <w:divBdr>
            <w:top w:val="none" w:sz="0" w:space="0" w:color="auto"/>
            <w:left w:val="none" w:sz="0" w:space="0" w:color="auto"/>
            <w:bottom w:val="none" w:sz="0" w:space="0" w:color="auto"/>
            <w:right w:val="none" w:sz="0" w:space="0" w:color="auto"/>
          </w:divBdr>
          <w:divsChild>
            <w:div w:id="1156652514">
              <w:marLeft w:val="0"/>
              <w:marRight w:val="0"/>
              <w:marTop w:val="0"/>
              <w:marBottom w:val="0"/>
              <w:divBdr>
                <w:top w:val="none" w:sz="0" w:space="0" w:color="auto"/>
                <w:left w:val="none" w:sz="0" w:space="0" w:color="auto"/>
                <w:bottom w:val="none" w:sz="0" w:space="0" w:color="auto"/>
                <w:right w:val="none" w:sz="0" w:space="0" w:color="auto"/>
              </w:divBdr>
              <w:divsChild>
                <w:div w:id="395248188">
                  <w:marLeft w:val="0"/>
                  <w:marRight w:val="0"/>
                  <w:marTop w:val="0"/>
                  <w:marBottom w:val="0"/>
                  <w:divBdr>
                    <w:top w:val="none" w:sz="0" w:space="0" w:color="auto"/>
                    <w:left w:val="none" w:sz="0" w:space="0" w:color="auto"/>
                    <w:bottom w:val="none" w:sz="0" w:space="0" w:color="auto"/>
                    <w:right w:val="none" w:sz="0" w:space="0" w:color="auto"/>
                  </w:divBdr>
                  <w:divsChild>
                    <w:div w:id="1900049907">
                      <w:marLeft w:val="0"/>
                      <w:marRight w:val="0"/>
                      <w:marTop w:val="0"/>
                      <w:marBottom w:val="0"/>
                      <w:divBdr>
                        <w:top w:val="none" w:sz="0" w:space="0" w:color="auto"/>
                        <w:left w:val="none" w:sz="0" w:space="0" w:color="auto"/>
                        <w:bottom w:val="none" w:sz="0" w:space="0" w:color="auto"/>
                        <w:right w:val="none" w:sz="0" w:space="0" w:color="auto"/>
                      </w:divBdr>
                      <w:divsChild>
                        <w:div w:id="509031067">
                          <w:marLeft w:val="0"/>
                          <w:marRight w:val="0"/>
                          <w:marTop w:val="0"/>
                          <w:marBottom w:val="0"/>
                          <w:divBdr>
                            <w:top w:val="none" w:sz="0" w:space="0" w:color="auto"/>
                            <w:left w:val="none" w:sz="0" w:space="0" w:color="auto"/>
                            <w:bottom w:val="none" w:sz="0" w:space="0" w:color="auto"/>
                            <w:right w:val="none" w:sz="0" w:space="0" w:color="auto"/>
                          </w:divBdr>
                          <w:divsChild>
                            <w:div w:id="5793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61273">
      <w:bodyDiv w:val="1"/>
      <w:marLeft w:val="0"/>
      <w:marRight w:val="0"/>
      <w:marTop w:val="0"/>
      <w:marBottom w:val="0"/>
      <w:divBdr>
        <w:top w:val="none" w:sz="0" w:space="0" w:color="auto"/>
        <w:left w:val="none" w:sz="0" w:space="0" w:color="auto"/>
        <w:bottom w:val="none" w:sz="0" w:space="0" w:color="auto"/>
        <w:right w:val="none" w:sz="0" w:space="0" w:color="auto"/>
      </w:divBdr>
    </w:div>
    <w:div w:id="590508210">
      <w:bodyDiv w:val="1"/>
      <w:marLeft w:val="0"/>
      <w:marRight w:val="0"/>
      <w:marTop w:val="0"/>
      <w:marBottom w:val="0"/>
      <w:divBdr>
        <w:top w:val="none" w:sz="0" w:space="0" w:color="auto"/>
        <w:left w:val="none" w:sz="0" w:space="0" w:color="auto"/>
        <w:bottom w:val="none" w:sz="0" w:space="0" w:color="auto"/>
        <w:right w:val="none" w:sz="0" w:space="0" w:color="auto"/>
      </w:divBdr>
    </w:div>
    <w:div w:id="600526750">
      <w:bodyDiv w:val="1"/>
      <w:marLeft w:val="0"/>
      <w:marRight w:val="0"/>
      <w:marTop w:val="0"/>
      <w:marBottom w:val="0"/>
      <w:divBdr>
        <w:top w:val="none" w:sz="0" w:space="0" w:color="auto"/>
        <w:left w:val="none" w:sz="0" w:space="0" w:color="auto"/>
        <w:bottom w:val="none" w:sz="0" w:space="0" w:color="auto"/>
        <w:right w:val="none" w:sz="0" w:space="0" w:color="auto"/>
      </w:divBdr>
    </w:div>
    <w:div w:id="840045315">
      <w:bodyDiv w:val="1"/>
      <w:marLeft w:val="0"/>
      <w:marRight w:val="0"/>
      <w:marTop w:val="0"/>
      <w:marBottom w:val="0"/>
      <w:divBdr>
        <w:top w:val="none" w:sz="0" w:space="0" w:color="auto"/>
        <w:left w:val="none" w:sz="0" w:space="0" w:color="auto"/>
        <w:bottom w:val="none" w:sz="0" w:space="0" w:color="auto"/>
        <w:right w:val="none" w:sz="0" w:space="0" w:color="auto"/>
      </w:divBdr>
    </w:div>
    <w:div w:id="1841846682">
      <w:bodyDiv w:val="1"/>
      <w:marLeft w:val="0"/>
      <w:marRight w:val="0"/>
      <w:marTop w:val="0"/>
      <w:marBottom w:val="0"/>
      <w:divBdr>
        <w:top w:val="none" w:sz="0" w:space="0" w:color="auto"/>
        <w:left w:val="none" w:sz="0" w:space="0" w:color="auto"/>
        <w:bottom w:val="none" w:sz="0" w:space="0" w:color="auto"/>
        <w:right w:val="none" w:sz="0" w:space="0" w:color="auto"/>
      </w:divBdr>
    </w:div>
    <w:div w:id="210255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mpetition-policy.ec.europa.eu/document/download/279cbfaf-49b1-4b90-b8f7-89d1f4a21eb3_en?filename=JEF_IPCEI_technical-guidance-calls.pdf&amp;prefLang=lv" TargetMode="External"/><Relationship Id="rId18" Type="http://schemas.openxmlformats.org/officeDocument/2006/relationships/hyperlink" Target="mailto:IPCEI-AST@digital.gob.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competition-policy.ec.europa.eu/document/download/9ff281e5-4ac9-4bad-b5fe-1665f0e8a753_en?filename=JEF-IPCEI_Recommendation%20on%20the%20roles%20of%20associated%20and%20indirect%20partners%20in%20an%20IPCEI%20ecosystem.pdf&amp;prefLang=da" TargetMode="External"/><Relationship Id="rId2" Type="http://schemas.openxmlformats.org/officeDocument/2006/relationships/numbering" Target="numbering.xml"/><Relationship Id="rId16" Type="http://schemas.openxmlformats.org/officeDocument/2006/relationships/hyperlink" Target="https://competition-policy.ec.europa.eu/document/download/279cbfaf-49b1-4b90-b8f7-89d1f4a21eb3_en?filename=JEF_IPCEI_technical-guidance-calls.pdf&amp;prefLang=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ur-lex.europa.eu/legal-content/ES/TXT/HTML/?uri=CELEX:52021XC1230(02)" TargetMode="External"/><Relationship Id="rId10" Type="http://schemas.openxmlformats.org/officeDocument/2006/relationships/footer" Target="footer1.xml"/><Relationship Id="rId19" Type="http://schemas.openxmlformats.org/officeDocument/2006/relationships/hyperlink" Target="mailto:IPCEI-AST@digital.gob.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mpetition-policy.ec.europa.eu/document/download/9ff281e5-4ac9-4bad-b5fe-1665f0e8a753_en?filename=JEF-IPCEI_Recommendation%20on%20the%20roles%20of%20associated%20and%20indirect%20partners%20in%20an%20IPCEI%20ecosystem.pdf&amp;prefLang=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54B8F-D637-4F70-B0A3-1ECDF723C3AB}">
  <ds:schemaRefs>
    <ds:schemaRef ds:uri="http://schemas.openxmlformats.org/officeDocument/2006/bibliography"/>
  </ds:schemaRefs>
</ds:datastoreItem>
</file>

<file path=docMetadata/LabelInfo.xml><?xml version="1.0" encoding="utf-8"?>
<clbl:labelList xmlns:clbl="http://schemas.microsoft.com/office/2020/mipLabelMetadata">
  <clbl:label id="{24e38255-2c42-4538-999c-5fd53e8456d2}" enabled="0" method="" siteId="{24e38255-2c42-4538-999c-5fd53e8456d2}" removed="1"/>
</clbl:labelList>
</file>

<file path=docProps/app.xml><?xml version="1.0" encoding="utf-8"?>
<Properties xmlns="http://schemas.openxmlformats.org/officeDocument/2006/extended-properties" xmlns:vt="http://schemas.openxmlformats.org/officeDocument/2006/docPropsVTypes">
  <Template>Normal.dotm</Template>
  <TotalTime>166</TotalTime>
  <Pages>7</Pages>
  <Words>2873</Words>
  <Characters>15806</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ALVARO PEREDA ARCE</cp:lastModifiedBy>
  <cp:revision>34</cp:revision>
  <dcterms:created xsi:type="dcterms:W3CDTF">2026-05-05T12:20:00Z</dcterms:created>
  <dcterms:modified xsi:type="dcterms:W3CDTF">2026-05-19T07:07:00Z</dcterms:modified>
</cp:coreProperties>
</file>