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DA2C" w14:textId="202013B6" w:rsidR="00925949" w:rsidRPr="00171CEA" w:rsidRDefault="007F67D4" w:rsidP="00C67416">
      <w:pPr>
        <w:shd w:val="clear" w:color="auto" w:fill="FFFFFF"/>
        <w:spacing w:before="240" w:after="132" w:line="276" w:lineRule="auto"/>
        <w:jc w:val="both"/>
        <w:outlineLvl w:val="0"/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</w:pPr>
      <w:r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>Anuncio p</w:t>
      </w:r>
      <w:r w:rsidR="00BD3958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 xml:space="preserve">úblico de presentación de </w:t>
      </w:r>
      <w:r w:rsidR="00925949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>Manifestaciones de Interé</w:t>
      </w:r>
      <w:r w:rsidR="001E6CD4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>s relativo a</w:t>
      </w:r>
      <w:r w:rsidR="00925949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 xml:space="preserve"> la participación en un proyecto europeo en el ámbito de</w:t>
      </w:r>
      <w:r w:rsidR="006A3EBE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 xml:space="preserve"> la Tecnologías avanzadas de semiconductores</w:t>
      </w:r>
      <w:r w:rsidR="00925949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 xml:space="preserve"> bajo el mecanismo </w:t>
      </w:r>
      <w:r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>“</w:t>
      </w:r>
      <w:r w:rsidR="00925949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>Proyectos Importantes de Interés Común Europeo</w:t>
      </w:r>
      <w:r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>”</w:t>
      </w:r>
      <w:r w:rsidR="00925949" w:rsidRPr="00171CEA">
        <w:rPr>
          <w:rFonts w:eastAsia="Times New Roman" w:cstheme="minorHAnsi"/>
          <w:b/>
          <w:bCs/>
          <w:color w:val="1D1D1B"/>
          <w:kern w:val="36"/>
          <w:sz w:val="48"/>
          <w:szCs w:val="48"/>
          <w:lang w:eastAsia="es-ES"/>
        </w:rPr>
        <w:t xml:space="preserve"> (IPCEI)</w:t>
      </w:r>
    </w:p>
    <w:p w14:paraId="4DD984BA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171CEA">
        <w:rPr>
          <w:rFonts w:eastAsia="Times New Roman" w:cstheme="minorHAnsi"/>
          <w:b/>
          <w:bCs/>
          <w:sz w:val="24"/>
          <w:szCs w:val="24"/>
          <w:lang w:eastAsia="es-ES"/>
        </w:rPr>
        <w:t>Consulta</w:t>
      </w:r>
    </w:p>
    <w:p w14:paraId="2CC5BCFF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171CEA">
        <w:rPr>
          <w:rFonts w:eastAsia="Times New Roman" w:cstheme="minorHAnsi"/>
          <w:sz w:val="24"/>
          <w:szCs w:val="24"/>
          <w:lang w:eastAsia="es-ES"/>
        </w:rPr>
        <w:t>Cerrada</w:t>
      </w:r>
    </w:p>
    <w:p w14:paraId="38F04BEB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171CEA">
        <w:rPr>
          <w:rFonts w:eastAsia="Times New Roman" w:cstheme="minorHAnsi"/>
          <w:b/>
          <w:bCs/>
          <w:sz w:val="24"/>
          <w:szCs w:val="24"/>
          <w:lang w:eastAsia="es-ES"/>
        </w:rPr>
        <w:t>Rango de la Norma:</w:t>
      </w:r>
    </w:p>
    <w:p w14:paraId="759D4292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171CEA">
        <w:rPr>
          <w:rFonts w:eastAsia="Times New Roman" w:cstheme="minorHAnsi"/>
          <w:sz w:val="24"/>
          <w:szCs w:val="24"/>
          <w:lang w:eastAsia="es-ES"/>
        </w:rPr>
        <w:t>Disposición de otras autoridades</w:t>
      </w:r>
    </w:p>
    <w:p w14:paraId="2D0FD0D4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171CEA">
        <w:rPr>
          <w:rFonts w:eastAsia="Times New Roman" w:cstheme="minorHAnsi"/>
          <w:b/>
          <w:bCs/>
          <w:sz w:val="24"/>
          <w:szCs w:val="24"/>
          <w:lang w:eastAsia="es-ES"/>
        </w:rPr>
        <w:t>Carácter de la consulta:</w:t>
      </w:r>
    </w:p>
    <w:p w14:paraId="52CB1D2C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171CEA">
        <w:rPr>
          <w:rFonts w:eastAsia="Times New Roman" w:cstheme="minorHAnsi"/>
          <w:sz w:val="24"/>
          <w:szCs w:val="24"/>
          <w:lang w:eastAsia="es-ES"/>
        </w:rPr>
        <w:t>No Normativas</w:t>
      </w:r>
    </w:p>
    <w:p w14:paraId="552AF7C0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171CEA">
        <w:rPr>
          <w:rFonts w:eastAsia="Times New Roman" w:cstheme="minorHAnsi"/>
          <w:b/>
          <w:bCs/>
          <w:sz w:val="24"/>
          <w:szCs w:val="24"/>
          <w:lang w:eastAsia="es-ES"/>
        </w:rPr>
        <w:t>Tipo de participación:</w:t>
      </w:r>
    </w:p>
    <w:p w14:paraId="6C6F67A0" w14:textId="77777777" w:rsidR="00925949" w:rsidRPr="00171CEA" w:rsidRDefault="00925949" w:rsidP="00C67416">
      <w:pPr>
        <w:pBdr>
          <w:top w:val="single" w:sz="4" w:space="3" w:color="E3E3E3"/>
          <w:bottom w:val="single" w:sz="4" w:space="3" w:color="E3E3E3"/>
        </w:pBdr>
        <w:spacing w:after="0" w:line="276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171CEA">
        <w:rPr>
          <w:rFonts w:eastAsia="Times New Roman" w:cstheme="minorHAnsi"/>
          <w:sz w:val="24"/>
          <w:szCs w:val="24"/>
          <w:lang w:eastAsia="es-ES"/>
        </w:rPr>
        <w:t>Proyectos no normativos</w:t>
      </w:r>
    </w:p>
    <w:p w14:paraId="08E74E07" w14:textId="0A3F54DD" w:rsidR="00925949" w:rsidRDefault="00925949" w:rsidP="00C67416">
      <w:pPr>
        <w:spacing w:before="240" w:after="132" w:line="276" w:lineRule="auto"/>
        <w:outlineLvl w:val="1"/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</w:pPr>
      <w:r w:rsidRP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>Resumen</w:t>
      </w:r>
    </w:p>
    <w:p w14:paraId="5CFF592F" w14:textId="77777777" w:rsidR="00570E51" w:rsidRDefault="00570E51" w:rsidP="00570E51">
      <w:pPr>
        <w:pStyle w:val="Normal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IPCEI en Tecnologías Avanzadas de Semiconductores (IPCEI AST) es una iniciativa estratégica europea destinada a reforzar la soberanía tecnológica, la competitividad y la resiliencia de Europa en un contexto de profunda transformación del sector de los semiconductores a nivel mundial. </w:t>
      </w:r>
      <w:proofErr w:type="spellStart"/>
      <w:r>
        <w:rPr>
          <w:rFonts w:ascii="Segoe UI" w:hAnsi="Segoe UI" w:cs="Segoe UI"/>
          <w:sz w:val="21"/>
          <w:szCs w:val="21"/>
        </w:rPr>
        <w:t>Megatendencias</w:t>
      </w:r>
      <w:proofErr w:type="spellEnd"/>
      <w:r>
        <w:rPr>
          <w:rFonts w:ascii="Segoe UI" w:hAnsi="Segoe UI" w:cs="Segoe UI"/>
          <w:sz w:val="21"/>
          <w:szCs w:val="21"/>
        </w:rPr>
        <w:t xml:space="preserve"> como la inteligencia artificial, la automatización, la seguridad y la sostenibilidad están redefiniendo la economía y la sociedad, convirtiendo a los semiconductores en un motor central del crecimiento, la innovación y la seguridad. Aunque Europa mantiene capacidades científicas de primer nivel y posiciones de liderazgo en nichos específicos, su peso global en la industria de semiconductores lleva más de veinte años bajo presión, en un entorno de creciente competencia geoeconómica y geopolítica.</w:t>
      </w:r>
    </w:p>
    <w:p w14:paraId="4B0D47C6" w14:textId="3F8E418A" w:rsidR="00570E51" w:rsidRDefault="00570E51" w:rsidP="00570E51">
      <w:pPr>
        <w:pStyle w:val="Normal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Los semiconductores son esenciales para prácticamente todos los sectores económicos y</w:t>
      </w:r>
      <w:r w:rsidR="003935BB">
        <w:rPr>
          <w:rFonts w:ascii="Segoe UI" w:hAnsi="Segoe UI" w:cs="Segoe UI"/>
          <w:sz w:val="21"/>
          <w:szCs w:val="21"/>
        </w:rPr>
        <w:t xml:space="preserve"> c</w:t>
      </w:r>
      <w:r>
        <w:rPr>
          <w:rFonts w:ascii="Segoe UI" w:hAnsi="Segoe UI" w:cs="Segoe UI"/>
          <w:sz w:val="21"/>
          <w:szCs w:val="21"/>
        </w:rPr>
        <w:t xml:space="preserve">onstituyen la base tecnológica de aproximadamente la mitad del PIB mundial al integrarse </w:t>
      </w:r>
      <w:r>
        <w:rPr>
          <w:rFonts w:ascii="Segoe UI" w:hAnsi="Segoe UI" w:cs="Segoe UI"/>
          <w:sz w:val="21"/>
          <w:szCs w:val="21"/>
        </w:rPr>
        <w:lastRenderedPageBreak/>
        <w:t>en sectores como la automoción, la industria, los servicios digitales, la energía o la defensa. Al mismo tiempo, las cadenas globales de suministro se han vuelto altamente complejas, intensivas en capital y dominadas por pocos actores, en su mayoría fuera de Europa, lo que genera dependencias estratégicas y riesgos para la seguridad y la continuidad del suministro.</w:t>
      </w:r>
    </w:p>
    <w:p w14:paraId="57875FC1" w14:textId="287E148C" w:rsidR="00570E51" w:rsidRDefault="00570E51" w:rsidP="00570E51">
      <w:pPr>
        <w:pStyle w:val="Normal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IPCEI AST responde a estos retos mediante un enfoque ambicioso y coordinado que concentra los esfuerzos europeos en ámbitos donde puede alcanzar o consolidar un liderazgo global, en lugar de intentar abarcar toda la cadena de valor. Se apoya en iniciativas previas de la UE —como </w:t>
      </w:r>
      <w:r w:rsidR="003935BB">
        <w:rPr>
          <w:rFonts w:ascii="Segoe UI" w:hAnsi="Segoe UI" w:cs="Segoe UI"/>
          <w:sz w:val="21"/>
          <w:szCs w:val="21"/>
        </w:rPr>
        <w:t xml:space="preserve">el </w:t>
      </w:r>
      <w:r w:rsidR="005824FF">
        <w:rPr>
          <w:rFonts w:ascii="Segoe UI" w:hAnsi="Segoe UI" w:cs="Segoe UI"/>
          <w:sz w:val="21"/>
          <w:szCs w:val="21"/>
        </w:rPr>
        <w:t>“</w:t>
      </w:r>
      <w:proofErr w:type="spellStart"/>
      <w:r w:rsidR="003935BB">
        <w:rPr>
          <w:rFonts w:ascii="Segoe UI" w:hAnsi="Segoe UI" w:cs="Segoe UI"/>
          <w:sz w:val="21"/>
          <w:szCs w:val="21"/>
        </w:rPr>
        <w:t>European</w:t>
      </w:r>
      <w:proofErr w:type="spellEnd"/>
      <w:r w:rsidR="003935BB">
        <w:rPr>
          <w:rFonts w:ascii="Segoe UI" w:hAnsi="Segoe UI" w:cs="Segoe UI"/>
          <w:sz w:val="21"/>
          <w:szCs w:val="21"/>
        </w:rPr>
        <w:t xml:space="preserve"> Chip </w:t>
      </w:r>
      <w:proofErr w:type="spellStart"/>
      <w:r w:rsidR="003935BB">
        <w:rPr>
          <w:rFonts w:ascii="Segoe UI" w:hAnsi="Segoe UI" w:cs="Segoe UI"/>
          <w:sz w:val="21"/>
          <w:szCs w:val="21"/>
        </w:rPr>
        <w:t>Act</w:t>
      </w:r>
      <w:proofErr w:type="spellEnd"/>
      <w:r w:rsidR="005824FF">
        <w:rPr>
          <w:rFonts w:ascii="Segoe UI" w:hAnsi="Segoe UI" w:cs="Segoe UI"/>
          <w:sz w:val="21"/>
          <w:szCs w:val="21"/>
        </w:rPr>
        <w:t>”</w:t>
      </w:r>
      <w:r w:rsidR="003935BB">
        <w:rPr>
          <w:rFonts w:ascii="Segoe UI" w:hAnsi="Segoe UI" w:cs="Segoe UI"/>
          <w:sz w:val="21"/>
          <w:szCs w:val="21"/>
        </w:rPr>
        <w:t xml:space="preserve">, </w:t>
      </w:r>
      <w:r>
        <w:rPr>
          <w:rFonts w:ascii="Segoe UI" w:hAnsi="Segoe UI" w:cs="Segoe UI"/>
          <w:sz w:val="21"/>
          <w:szCs w:val="21"/>
        </w:rPr>
        <w:t xml:space="preserve">las </w:t>
      </w:r>
      <w:r w:rsidR="005824FF">
        <w:rPr>
          <w:rFonts w:ascii="Segoe UI" w:hAnsi="Segoe UI" w:cs="Segoe UI"/>
          <w:sz w:val="21"/>
          <w:szCs w:val="21"/>
        </w:rPr>
        <w:t>“</w:t>
      </w:r>
      <w:proofErr w:type="spellStart"/>
      <w:r w:rsidR="003935BB">
        <w:rPr>
          <w:rFonts w:ascii="Segoe UI" w:hAnsi="Segoe UI" w:cs="Segoe UI"/>
          <w:sz w:val="21"/>
          <w:szCs w:val="21"/>
        </w:rPr>
        <w:t>pilot</w:t>
      </w:r>
      <w:proofErr w:type="spellEnd"/>
      <w:r w:rsidR="003935BB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3935BB">
        <w:rPr>
          <w:rFonts w:ascii="Segoe UI" w:hAnsi="Segoe UI" w:cs="Segoe UI"/>
          <w:sz w:val="21"/>
          <w:szCs w:val="21"/>
        </w:rPr>
        <w:t>lines</w:t>
      </w:r>
      <w:proofErr w:type="spellEnd"/>
      <w:r w:rsidR="005824FF">
        <w:rPr>
          <w:rFonts w:ascii="Segoe UI" w:hAnsi="Segoe UI" w:cs="Segoe UI"/>
          <w:sz w:val="21"/>
          <w:szCs w:val="21"/>
        </w:rPr>
        <w:t>”</w:t>
      </w:r>
      <w:r>
        <w:rPr>
          <w:rFonts w:ascii="Segoe UI" w:hAnsi="Segoe UI" w:cs="Segoe UI"/>
          <w:sz w:val="21"/>
          <w:szCs w:val="21"/>
        </w:rPr>
        <w:t>, los centros de competencia y los anteriores IPCEI en microelectrónica— para acelerar el paso de la investigación avanzada a la implantación industrial. Un objetivo clave es cerrar la brecha entre el laboratorio y la fábrica, facilitando la llegada al mercado y el escalado productivo.</w:t>
      </w:r>
    </w:p>
    <w:p w14:paraId="7F714D5F" w14:textId="118B4A5E" w:rsidR="00570E51" w:rsidRDefault="00570E51" w:rsidP="00570E51">
      <w:pPr>
        <w:pStyle w:val="Normal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La iniciativa se centra en siete ámbitos tecnológicos estratégicos. Incluye áreas altamente disruptivas aún no cubiertas en previos </w:t>
      </w:r>
      <w:proofErr w:type="spellStart"/>
      <w:r>
        <w:rPr>
          <w:rFonts w:ascii="Segoe UI" w:hAnsi="Segoe UI" w:cs="Segoe UI"/>
          <w:sz w:val="21"/>
          <w:szCs w:val="21"/>
        </w:rPr>
        <w:t>IPCEIs</w:t>
      </w:r>
      <w:proofErr w:type="spellEnd"/>
      <w:r>
        <w:rPr>
          <w:rFonts w:ascii="Segoe UI" w:hAnsi="Segoe UI" w:cs="Segoe UI"/>
          <w:sz w:val="21"/>
          <w:szCs w:val="21"/>
        </w:rPr>
        <w:t xml:space="preserve">, como chips y aceleradores de IA, circuitos fotónicos integrados y </w:t>
      </w:r>
      <w:r w:rsidR="005824FF">
        <w:rPr>
          <w:rFonts w:ascii="Segoe UI" w:hAnsi="Segoe UI" w:cs="Segoe UI"/>
          <w:sz w:val="21"/>
          <w:szCs w:val="21"/>
        </w:rPr>
        <w:t>“</w:t>
      </w:r>
      <w:proofErr w:type="spellStart"/>
      <w:r>
        <w:rPr>
          <w:rFonts w:ascii="Segoe UI" w:hAnsi="Segoe UI" w:cs="Segoe UI"/>
          <w:sz w:val="21"/>
          <w:szCs w:val="21"/>
        </w:rPr>
        <w:t>chiplets</w:t>
      </w:r>
      <w:proofErr w:type="spellEnd"/>
      <w:r w:rsidR="005824FF">
        <w:rPr>
          <w:rFonts w:ascii="Segoe UI" w:hAnsi="Segoe UI" w:cs="Segoe UI"/>
          <w:sz w:val="21"/>
          <w:szCs w:val="21"/>
        </w:rPr>
        <w:t>”</w:t>
      </w:r>
      <w:r>
        <w:rPr>
          <w:rFonts w:ascii="Segoe UI" w:hAnsi="Segoe UI" w:cs="Segoe UI"/>
          <w:sz w:val="21"/>
          <w:szCs w:val="21"/>
        </w:rPr>
        <w:t xml:space="preserve"> con integración heterogénea y empaquetado avanzado, junto con campos donde Europa ya destaca, como sensores disruptivos, electrónica de potencia y soluciones de ahorro energético, y comunicaciones seguras. Un eje transversal dedicado a tecnologías habilitadoras —equipos, materiales y herramientas de diseño— garantiza la cobertura integral de la cadena de valor.</w:t>
      </w:r>
    </w:p>
    <w:p w14:paraId="3AA7504B" w14:textId="4347001F" w:rsidR="00570E51" w:rsidRPr="003935BB" w:rsidRDefault="00570E51" w:rsidP="003935BB">
      <w:pPr>
        <w:pStyle w:val="Normal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Mediante inversión colectiva, coordinación del ecosistema y decisiones estratégicas claras, el IPCEI AST pretende crear posiciones europeas indispensables en las cadenas globales, reducir dependencias críticas, fortalecer las industrias tractoras y asegurar el liderazgo tecnológico y la prosperidad económica de Europa a largo plazo.</w:t>
      </w:r>
    </w:p>
    <w:p w14:paraId="4004F560" w14:textId="28051359" w:rsidR="00171CEA" w:rsidRPr="00171CEA" w:rsidRDefault="00171CEA" w:rsidP="00C67416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  <w:color w:val="1D1D1B"/>
          <w:sz w:val="36"/>
          <w:szCs w:val="36"/>
        </w:rPr>
      </w:pPr>
      <w:r w:rsidRPr="00171CEA">
        <w:rPr>
          <w:rFonts w:asciiTheme="minorHAnsi" w:hAnsiTheme="minorHAnsi" w:cstheme="minorHAnsi"/>
          <w:b/>
          <w:bCs/>
          <w:color w:val="1D1D1B"/>
          <w:sz w:val="36"/>
          <w:szCs w:val="36"/>
        </w:rPr>
        <w:t>Manifestación de Interés</w:t>
      </w:r>
    </w:p>
    <w:p w14:paraId="56EEF902" w14:textId="1835BEF5" w:rsidR="00171CEA" w:rsidRDefault="00171CEA" w:rsidP="00171CEA">
      <w:pPr>
        <w:jc w:val="both"/>
      </w:pPr>
      <w:r w:rsidRPr="007F23D4">
        <w:t xml:space="preserve">En el marco de la iniciativa IPCEI </w:t>
      </w:r>
      <w:r>
        <w:t>AST</w:t>
      </w:r>
      <w:r w:rsidRPr="007F23D4">
        <w:t xml:space="preserve">, la </w:t>
      </w:r>
      <w:r w:rsidRPr="00254127">
        <w:t xml:space="preserve">Secretaría de Estado de </w:t>
      </w:r>
      <w:r w:rsidR="00BA1112" w:rsidRPr="005824FF">
        <w:t>Telecomunicaciones</w:t>
      </w:r>
      <w:r w:rsidR="00BA1112">
        <w:t xml:space="preserve"> e Infraestructuras Digitales, </w:t>
      </w:r>
      <w:r w:rsidR="00BA1112">
        <w:rPr>
          <w:rFonts w:cstheme="minorHAnsi"/>
        </w:rPr>
        <w:t>contará con el apoyo de la Sociedad Española para la Transformación Tecnológica y con la colaboración de la Dirección General de Programas Industriales, del ministerio de industria y Turismo</w:t>
      </w:r>
      <w:r w:rsidR="00AF2688">
        <w:rPr>
          <w:rFonts w:cstheme="minorHAnsi"/>
        </w:rPr>
        <w:t>,</w:t>
      </w:r>
      <w:r w:rsidR="00BA1112" w:rsidRPr="007F23D4">
        <w:t xml:space="preserve"> </w:t>
      </w:r>
      <w:r w:rsidRPr="007F23D4">
        <w:t>publica la siguiente solicitud de manifestaciones de interés con el objetivo de identificar entidades interesadas en participar con propuestas alineadas con los objetivos de este IPCEI.</w:t>
      </w:r>
    </w:p>
    <w:p w14:paraId="0975274F" w14:textId="483478B3" w:rsidR="00925949" w:rsidRPr="00171CEA" w:rsidRDefault="00925949" w:rsidP="00C67416">
      <w:pPr>
        <w:spacing w:before="240" w:after="132" w:line="276" w:lineRule="auto"/>
        <w:outlineLvl w:val="1"/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</w:pPr>
      <w:r w:rsidRP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>Plazo de remisión</w:t>
      </w:r>
      <w:r w:rsidR="00213843" w:rsidRP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 xml:space="preserve"> de propuestas</w:t>
      </w:r>
    </w:p>
    <w:p w14:paraId="6E71A669" w14:textId="5C2F98FF" w:rsidR="00925949" w:rsidRPr="00623FF0" w:rsidRDefault="00BD3958" w:rsidP="00C67416">
      <w:pPr>
        <w:spacing w:after="372"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623FF0">
        <w:rPr>
          <w:rFonts w:eastAsia="Times New Roman" w:cstheme="minorHAnsi"/>
          <w:lang w:eastAsia="es-ES"/>
        </w:rPr>
        <w:t>Los interesados en formar parte de esta iniciativa pueden enviar sus propuesta</w:t>
      </w:r>
      <w:r w:rsidRPr="00B67EB7">
        <w:rPr>
          <w:rFonts w:eastAsia="Times New Roman" w:cstheme="minorHAnsi"/>
          <w:lang w:eastAsia="es-ES"/>
        </w:rPr>
        <w:t xml:space="preserve">s </w:t>
      </w:r>
      <w:r w:rsidRPr="00B67EB7">
        <w:rPr>
          <w:rFonts w:eastAsia="Times New Roman" w:cstheme="minorHAnsi"/>
          <w:b/>
          <w:bCs/>
          <w:lang w:eastAsia="es-ES"/>
        </w:rPr>
        <w:t xml:space="preserve">entre el </w:t>
      </w:r>
      <w:r w:rsidR="008148F6" w:rsidRPr="00B67EB7">
        <w:rPr>
          <w:rFonts w:eastAsia="Times New Roman" w:cstheme="minorHAnsi"/>
          <w:b/>
          <w:bCs/>
          <w:lang w:eastAsia="es-ES"/>
        </w:rPr>
        <w:t>1</w:t>
      </w:r>
      <w:r w:rsidR="005E67F1" w:rsidRPr="00B67EB7">
        <w:rPr>
          <w:rFonts w:eastAsia="Times New Roman" w:cstheme="minorHAnsi"/>
          <w:b/>
          <w:bCs/>
          <w:lang w:eastAsia="es-ES"/>
        </w:rPr>
        <w:t>9</w:t>
      </w:r>
      <w:r w:rsidR="001E6CD4" w:rsidRPr="00B67EB7">
        <w:rPr>
          <w:rFonts w:eastAsia="Times New Roman" w:cstheme="minorHAnsi"/>
          <w:b/>
          <w:bCs/>
          <w:lang w:eastAsia="es-ES"/>
        </w:rPr>
        <w:t xml:space="preserve"> de </w:t>
      </w:r>
      <w:r w:rsidR="008148F6" w:rsidRPr="00B67EB7">
        <w:rPr>
          <w:rFonts w:eastAsia="Times New Roman" w:cstheme="minorHAnsi"/>
          <w:b/>
          <w:bCs/>
          <w:lang w:eastAsia="es-ES"/>
        </w:rPr>
        <w:t>mayo</w:t>
      </w:r>
      <w:r w:rsidR="001E6CD4" w:rsidRPr="00B67EB7">
        <w:rPr>
          <w:rFonts w:eastAsia="Times New Roman" w:cstheme="minorHAnsi"/>
          <w:b/>
          <w:bCs/>
          <w:lang w:eastAsia="es-ES"/>
        </w:rPr>
        <w:t xml:space="preserve"> </w:t>
      </w:r>
      <w:r w:rsidR="001E6CD4" w:rsidRPr="00623FF0">
        <w:rPr>
          <w:rFonts w:eastAsia="Times New Roman" w:cstheme="minorHAnsi"/>
          <w:b/>
          <w:bCs/>
          <w:lang w:eastAsia="es-ES"/>
        </w:rPr>
        <w:t xml:space="preserve">y el </w:t>
      </w:r>
      <w:r w:rsidR="00B67EB7">
        <w:rPr>
          <w:rFonts w:eastAsia="Times New Roman" w:cstheme="minorHAnsi"/>
          <w:b/>
          <w:bCs/>
          <w:lang w:eastAsia="es-ES"/>
        </w:rPr>
        <w:t>2</w:t>
      </w:r>
      <w:r w:rsidR="00D10B9C">
        <w:rPr>
          <w:rFonts w:eastAsia="Times New Roman" w:cstheme="minorHAnsi"/>
          <w:b/>
          <w:bCs/>
          <w:lang w:eastAsia="es-ES"/>
        </w:rPr>
        <w:t xml:space="preserve"> de junio</w:t>
      </w:r>
      <w:r w:rsidR="001E6CD4" w:rsidRPr="00623FF0">
        <w:rPr>
          <w:rFonts w:eastAsia="Times New Roman" w:cstheme="minorHAnsi"/>
          <w:b/>
          <w:bCs/>
          <w:lang w:eastAsia="es-ES"/>
        </w:rPr>
        <w:t xml:space="preserve"> de 2026, ambos incluidos.</w:t>
      </w:r>
    </w:p>
    <w:p w14:paraId="190A0A80" w14:textId="680F1784" w:rsidR="00925949" w:rsidRPr="00171CEA" w:rsidRDefault="00925949" w:rsidP="00C67416">
      <w:pPr>
        <w:spacing w:before="240" w:after="132" w:line="276" w:lineRule="auto"/>
        <w:outlineLvl w:val="1"/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</w:pPr>
      <w:r w:rsidRP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 xml:space="preserve">Presentación de </w:t>
      </w:r>
      <w:r w:rsid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>solicitudes</w:t>
      </w:r>
      <w:r w:rsidRP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 xml:space="preserve"> </w:t>
      </w:r>
    </w:p>
    <w:p w14:paraId="55FC16F9" w14:textId="428B7020" w:rsidR="00213843" w:rsidRPr="001D2393" w:rsidRDefault="00925949" w:rsidP="00C67416">
      <w:pPr>
        <w:spacing w:after="372" w:line="276" w:lineRule="auto"/>
        <w:rPr>
          <w:rFonts w:eastAsia="Times New Roman" w:cstheme="minorHAnsi"/>
          <w:lang w:eastAsia="es-ES"/>
        </w:rPr>
      </w:pPr>
      <w:r w:rsidRPr="001D2393">
        <w:rPr>
          <w:rFonts w:eastAsia="Times New Roman" w:cstheme="minorHAnsi"/>
          <w:lang w:eastAsia="es-ES"/>
        </w:rPr>
        <w:t xml:space="preserve">Las propuestas podrán remitirse a la </w:t>
      </w:r>
      <w:r w:rsidRPr="005E67F1">
        <w:rPr>
          <w:rFonts w:eastAsia="Times New Roman" w:cstheme="minorHAnsi"/>
          <w:lang w:eastAsia="es-ES"/>
        </w:rPr>
        <w:t xml:space="preserve">dirección de </w:t>
      </w:r>
      <w:r w:rsidR="00C67416" w:rsidRPr="005E67F1">
        <w:rPr>
          <w:rFonts w:eastAsia="Times New Roman" w:cstheme="minorHAnsi"/>
          <w:lang w:eastAsia="es-ES"/>
        </w:rPr>
        <w:t>c</w:t>
      </w:r>
      <w:r w:rsidRPr="005E67F1">
        <w:rPr>
          <w:rFonts w:eastAsia="Times New Roman" w:cstheme="minorHAnsi"/>
          <w:lang w:eastAsia="es-ES"/>
        </w:rPr>
        <w:t>orreo: </w:t>
      </w:r>
      <w:hyperlink r:id="rId7" w:history="1">
        <w:r w:rsidR="00105EAA" w:rsidRPr="00420067">
          <w:rPr>
            <w:rStyle w:val="Hipervnculo"/>
            <w:rFonts w:eastAsia="Times New Roman" w:cstheme="minorHAnsi"/>
            <w:lang w:eastAsia="es-ES"/>
          </w:rPr>
          <w:t>IPCEI-AST@digital.gob.es</w:t>
        </w:r>
      </w:hyperlink>
      <w:r w:rsidR="00105EAA">
        <w:rPr>
          <w:rFonts w:eastAsia="Times New Roman" w:cstheme="minorHAnsi"/>
          <w:lang w:eastAsia="es-ES"/>
        </w:rPr>
        <w:t xml:space="preserve"> </w:t>
      </w:r>
      <w:r w:rsidR="00C67416" w:rsidRPr="00105EAA">
        <w:rPr>
          <w:rFonts w:eastAsia="Times New Roman" w:cstheme="minorHAnsi"/>
          <w:lang w:eastAsia="es-ES"/>
        </w:rPr>
        <w:t xml:space="preserve"> </w:t>
      </w:r>
      <w:r w:rsidRPr="00105EAA">
        <w:rPr>
          <w:rFonts w:eastAsia="Times New Roman" w:cstheme="minorHAnsi"/>
          <w:lang w:eastAsia="es-ES"/>
        </w:rPr>
        <w:t xml:space="preserve">indicando en el asunto: "Proyecto IPCEI </w:t>
      </w:r>
      <w:r w:rsidR="006A3EBE" w:rsidRPr="00105EAA">
        <w:rPr>
          <w:rFonts w:eastAsia="Times New Roman" w:cstheme="minorHAnsi"/>
          <w:lang w:eastAsia="es-ES"/>
        </w:rPr>
        <w:t>AST</w:t>
      </w:r>
      <w:r w:rsidR="00213843" w:rsidRPr="00105EAA">
        <w:rPr>
          <w:rFonts w:eastAsia="Times New Roman" w:cstheme="minorHAnsi"/>
          <w:lang w:eastAsia="es-ES"/>
        </w:rPr>
        <w:t xml:space="preserve">”, y siguiendo las instrucciones recogidas en </w:t>
      </w:r>
      <w:r w:rsidR="00213843" w:rsidRPr="005E67F1">
        <w:rPr>
          <w:rFonts w:eastAsia="Times New Roman" w:cstheme="minorHAnsi"/>
          <w:lang w:eastAsia="es-ES"/>
        </w:rPr>
        <w:t>la Guía para la Presentación de Solicitudes.</w:t>
      </w:r>
    </w:p>
    <w:p w14:paraId="78DB1037" w14:textId="77777777" w:rsidR="00213843" w:rsidRPr="001D2393" w:rsidRDefault="00213843" w:rsidP="00C67416">
      <w:pPr>
        <w:spacing w:after="372" w:line="276" w:lineRule="auto"/>
        <w:rPr>
          <w:rFonts w:eastAsia="Times New Roman" w:cstheme="minorHAnsi"/>
          <w:lang w:eastAsia="es-ES"/>
        </w:rPr>
      </w:pPr>
      <w:r w:rsidRPr="001D2393">
        <w:rPr>
          <w:rFonts w:eastAsia="Times New Roman" w:cstheme="minorHAnsi"/>
          <w:lang w:eastAsia="es-ES"/>
        </w:rPr>
        <w:lastRenderedPageBreak/>
        <w:t>Necesariamente deberá aportarse la siguiente documentación:</w:t>
      </w:r>
    </w:p>
    <w:p w14:paraId="070A1382" w14:textId="2CEA594A" w:rsidR="00213843" w:rsidRPr="001D2393" w:rsidRDefault="006A3EBE" w:rsidP="006A3EBE">
      <w:pPr>
        <w:pStyle w:val="Prrafodelista"/>
        <w:numPr>
          <w:ilvl w:val="0"/>
          <w:numId w:val="2"/>
        </w:numPr>
        <w:spacing w:after="372" w:line="276" w:lineRule="auto"/>
        <w:rPr>
          <w:rFonts w:eastAsia="Times New Roman" w:cstheme="minorHAnsi"/>
          <w:lang w:eastAsia="es-ES"/>
        </w:rPr>
      </w:pPr>
      <w:r w:rsidRPr="001D2393">
        <w:rPr>
          <w:rFonts w:eastAsia="Times New Roman" w:cstheme="minorHAnsi"/>
          <w:lang w:eastAsia="es-ES"/>
        </w:rPr>
        <w:t>Memoria Técnica del Proyecto en español e inglés</w:t>
      </w:r>
      <w:r w:rsidR="00792E29">
        <w:rPr>
          <w:rFonts w:eastAsia="Times New Roman" w:cstheme="minorHAnsi"/>
          <w:lang w:eastAsia="es-ES"/>
        </w:rPr>
        <w:t xml:space="preserve">, </w:t>
      </w:r>
      <w:r w:rsidR="005F31DC">
        <w:rPr>
          <w:rFonts w:eastAsia="Times New Roman" w:cstheme="minorHAnsi"/>
          <w:lang w:eastAsia="es-ES"/>
        </w:rPr>
        <w:t>según lo indicado en la guía para la presentación de solicitudes</w:t>
      </w:r>
    </w:p>
    <w:p w14:paraId="701740CE" w14:textId="77777777" w:rsidR="00925949" w:rsidRPr="00171CEA" w:rsidRDefault="00925949" w:rsidP="00C67416">
      <w:pPr>
        <w:spacing w:before="240" w:after="132" w:line="276" w:lineRule="auto"/>
        <w:outlineLvl w:val="1"/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</w:pPr>
      <w:r w:rsidRPr="00171CEA">
        <w:rPr>
          <w:rFonts w:eastAsia="Times New Roman" w:cstheme="minorHAnsi"/>
          <w:b/>
          <w:bCs/>
          <w:color w:val="1D1D1B"/>
          <w:sz w:val="36"/>
          <w:szCs w:val="36"/>
          <w:lang w:eastAsia="es-ES"/>
        </w:rPr>
        <w:t>Anexos</w:t>
      </w:r>
    </w:p>
    <w:p w14:paraId="471E0929" w14:textId="12AA07FB" w:rsidR="00925949" w:rsidRDefault="00F96E4B" w:rsidP="00C67416">
      <w:pPr>
        <w:spacing w:after="372" w:line="276" w:lineRule="auto"/>
      </w:pPr>
      <w:r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Anuncio público de manifestaciones de interés IPCEI AST</w:t>
      </w:r>
      <w:r w:rsidRPr="001D2393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 xml:space="preserve"> </w:t>
      </w:r>
    </w:p>
    <w:p w14:paraId="2B47B33F" w14:textId="0DAFA939" w:rsidR="00094473" w:rsidRPr="001D2393" w:rsidRDefault="00094473" w:rsidP="00094473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</w:pPr>
      <w:proofErr w:type="spellStart"/>
      <w:r w:rsidRPr="001D2393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Plantilla_Solicitud_AST_EN</w:t>
      </w:r>
      <w:proofErr w:type="spellEnd"/>
    </w:p>
    <w:p w14:paraId="1BAD2ADF" w14:textId="74F081A0" w:rsidR="00F91060" w:rsidRPr="001D2393" w:rsidRDefault="00F91060" w:rsidP="00F91060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</w:pPr>
      <w:proofErr w:type="spellStart"/>
      <w:r w:rsidRPr="001D2393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Plantilla_Solicitud_AST_ES</w:t>
      </w:r>
      <w:proofErr w:type="spellEnd"/>
    </w:p>
    <w:p w14:paraId="2A550F5D" w14:textId="0227769B" w:rsidR="00094473" w:rsidRPr="001D2393" w:rsidRDefault="00066F5B" w:rsidP="00C67416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es-ES"/>
        </w:rPr>
      </w:pPr>
      <w:r w:rsidRPr="00066F5B"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es-ES"/>
        </w:rPr>
        <w:t>Guía para la presentación de solicitudes - IPCEI AS</w:t>
      </w:r>
      <w:r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es-ES"/>
        </w:rPr>
        <w:t>T</w:t>
      </w:r>
    </w:p>
    <w:p w14:paraId="66523A24" w14:textId="3EFEC04D" w:rsidR="00925949" w:rsidRPr="005F31DC" w:rsidRDefault="008D3BE2" w:rsidP="00C67416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</w:pPr>
      <w:r w:rsidRPr="005F31DC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 xml:space="preserve">IPCEI AST Central </w:t>
      </w:r>
      <w:proofErr w:type="spellStart"/>
      <w:r w:rsidRPr="005F31DC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Narrative_FINAL</w:t>
      </w:r>
      <w:proofErr w:type="spellEnd"/>
      <w:r w:rsidRPr="005F31DC" w:rsidDel="008D3BE2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 xml:space="preserve"> </w:t>
      </w:r>
    </w:p>
    <w:p w14:paraId="67FAA347" w14:textId="6AF46787" w:rsidR="00AC52E4" w:rsidRDefault="00AC52E4" w:rsidP="00C67416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</w:pPr>
      <w:r w:rsidRPr="001D2393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Preguntas frecuentes (</w:t>
      </w:r>
      <w:proofErr w:type="spellStart"/>
      <w:r w:rsidRPr="001D2393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FAQs</w:t>
      </w:r>
      <w:proofErr w:type="spellEnd"/>
      <w:r w:rsidRPr="001D2393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)</w:t>
      </w:r>
      <w:r w:rsidR="007B4C08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 xml:space="preserve"> – IPCEI AST</w:t>
      </w:r>
    </w:p>
    <w:p w14:paraId="4DD041FA" w14:textId="0067E126" w:rsidR="00BF253B" w:rsidRDefault="00BE4206" w:rsidP="00BE4206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</w:pPr>
      <w:r w:rsidRPr="00BE4206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Comunicación de la Comisión 2021</w:t>
      </w:r>
      <w:r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/</w:t>
      </w:r>
      <w:r w:rsidRPr="00BE4206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C</w:t>
      </w:r>
      <w:r w:rsidR="00145D09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 xml:space="preserve"> </w:t>
      </w:r>
      <w:r w:rsidRPr="00BE4206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528</w:t>
      </w:r>
      <w:r w:rsidR="00145D09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/</w:t>
      </w:r>
      <w:r w:rsidRPr="00BE4206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eastAsia="es-ES"/>
        </w:rPr>
        <w:t>02</w:t>
      </w:r>
    </w:p>
    <w:p w14:paraId="5E6D0684" w14:textId="5BB14AAC" w:rsidR="00D97FE7" w:rsidRDefault="00D97FE7" w:rsidP="00BE4206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</w:pPr>
      <w:proofErr w:type="spellStart"/>
      <w:r w:rsidRPr="001D099E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>JEF_IPCEI_technical</w:t>
      </w:r>
      <w:proofErr w:type="spellEnd"/>
      <w:r w:rsidRPr="001D099E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>-guidance-</w:t>
      </w:r>
      <w:proofErr w:type="spellStart"/>
      <w:r w:rsidRPr="001D099E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>calls_RDI</w:t>
      </w:r>
      <w:proofErr w:type="spellEnd"/>
      <w:r w:rsidRPr="001D099E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>-FID_IPCEI</w:t>
      </w:r>
    </w:p>
    <w:p w14:paraId="449F29C1" w14:textId="5DE48A6E" w:rsidR="00D97FE7" w:rsidRPr="001D099E" w:rsidRDefault="00D97FE7" w:rsidP="00BE4206">
      <w:pPr>
        <w:spacing w:after="372" w:line="276" w:lineRule="auto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</w:pPr>
      <w:r w:rsidRPr="00D97FE7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>JEF-</w:t>
      </w:r>
      <w:proofErr w:type="spellStart"/>
      <w:r w:rsidRPr="00D97FE7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>IPCEI_Recommendation</w:t>
      </w:r>
      <w:proofErr w:type="spellEnd"/>
      <w:r w:rsidRPr="00D97FE7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n-GB" w:eastAsia="es-ES"/>
        </w:rPr>
        <w:t xml:space="preserve"> on the roles of associated and indirect partners in an IPCEI ecosystem</w:t>
      </w:r>
    </w:p>
    <w:sectPr w:rsidR="00D97FE7" w:rsidRPr="001D0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97E3" w14:textId="77777777" w:rsidR="00B90990" w:rsidRDefault="00B90990" w:rsidP="00BD3958">
      <w:pPr>
        <w:spacing w:after="0" w:line="240" w:lineRule="auto"/>
      </w:pPr>
      <w:r>
        <w:separator/>
      </w:r>
    </w:p>
  </w:endnote>
  <w:endnote w:type="continuationSeparator" w:id="0">
    <w:p w14:paraId="62577F36" w14:textId="77777777" w:rsidR="00B90990" w:rsidRDefault="00B90990" w:rsidP="00BD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B188" w14:textId="77777777" w:rsidR="00B90990" w:rsidRDefault="00B90990" w:rsidP="00BD3958">
      <w:pPr>
        <w:spacing w:after="0" w:line="240" w:lineRule="auto"/>
      </w:pPr>
      <w:r>
        <w:separator/>
      </w:r>
    </w:p>
  </w:footnote>
  <w:footnote w:type="continuationSeparator" w:id="0">
    <w:p w14:paraId="5CB45687" w14:textId="77777777" w:rsidR="00B90990" w:rsidRDefault="00B90990" w:rsidP="00BD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055"/>
    <w:multiLevelType w:val="hybridMultilevel"/>
    <w:tmpl w:val="EA8EEF8A"/>
    <w:lvl w:ilvl="0" w:tplc="CF544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58A5"/>
    <w:multiLevelType w:val="multilevel"/>
    <w:tmpl w:val="EB9E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206153">
    <w:abstractNumId w:val="1"/>
  </w:num>
  <w:num w:numId="2" w16cid:durableId="47167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9"/>
    <w:rsid w:val="00066F5B"/>
    <w:rsid w:val="00094473"/>
    <w:rsid w:val="000C3410"/>
    <w:rsid w:val="00105EAA"/>
    <w:rsid w:val="00145D09"/>
    <w:rsid w:val="00171CEA"/>
    <w:rsid w:val="00172608"/>
    <w:rsid w:val="00181D03"/>
    <w:rsid w:val="00186BE3"/>
    <w:rsid w:val="001D099E"/>
    <w:rsid w:val="001D2393"/>
    <w:rsid w:val="001E6CD4"/>
    <w:rsid w:val="00213843"/>
    <w:rsid w:val="00254127"/>
    <w:rsid w:val="00342111"/>
    <w:rsid w:val="00363FB5"/>
    <w:rsid w:val="003935BB"/>
    <w:rsid w:val="003C5940"/>
    <w:rsid w:val="004506A7"/>
    <w:rsid w:val="00570E51"/>
    <w:rsid w:val="005824FF"/>
    <w:rsid w:val="005947E3"/>
    <w:rsid w:val="005E67F1"/>
    <w:rsid w:val="005F31DC"/>
    <w:rsid w:val="00623FF0"/>
    <w:rsid w:val="0065226F"/>
    <w:rsid w:val="006537BD"/>
    <w:rsid w:val="006A3EBE"/>
    <w:rsid w:val="00792E29"/>
    <w:rsid w:val="007B4C08"/>
    <w:rsid w:val="007F67D4"/>
    <w:rsid w:val="008148F6"/>
    <w:rsid w:val="008D3BE2"/>
    <w:rsid w:val="00925949"/>
    <w:rsid w:val="009D7731"/>
    <w:rsid w:val="00A31AC2"/>
    <w:rsid w:val="00A45FE2"/>
    <w:rsid w:val="00AC52E4"/>
    <w:rsid w:val="00AD188B"/>
    <w:rsid w:val="00AF2688"/>
    <w:rsid w:val="00B55216"/>
    <w:rsid w:val="00B67EB7"/>
    <w:rsid w:val="00B90990"/>
    <w:rsid w:val="00BA1112"/>
    <w:rsid w:val="00BD3958"/>
    <w:rsid w:val="00BD480A"/>
    <w:rsid w:val="00BE4206"/>
    <w:rsid w:val="00BF253B"/>
    <w:rsid w:val="00C4796A"/>
    <w:rsid w:val="00C67416"/>
    <w:rsid w:val="00D10B9C"/>
    <w:rsid w:val="00D97FE7"/>
    <w:rsid w:val="00DD29A2"/>
    <w:rsid w:val="00EB5E6D"/>
    <w:rsid w:val="00EE5D55"/>
    <w:rsid w:val="00EE7FCC"/>
    <w:rsid w:val="00F56C0B"/>
    <w:rsid w:val="00F91060"/>
    <w:rsid w:val="00F9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1F93"/>
  <w15:chartTrackingRefBased/>
  <w15:docId w15:val="{7ADAAC3D-8D5D-4F17-AD89-8CA0236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BD3958"/>
    <w:pPr>
      <w:spacing w:after="200" w:line="36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D3958"/>
    <w:rPr>
      <w:rFonts w:ascii="Calibri" w:eastAsia="Times New Roman" w:hAnsi="Calibri" w:cs="Times New Roman"/>
      <w:szCs w:val="20"/>
      <w:lang w:val="es-ES_tradnl" w:eastAsia="es-ES"/>
    </w:rPr>
  </w:style>
  <w:style w:type="character" w:styleId="Refdenotaalpie">
    <w:name w:val="footnote reference"/>
    <w:uiPriority w:val="99"/>
    <w:semiHidden/>
    <w:rsid w:val="00BD3958"/>
    <w:rPr>
      <w:vertAlign w:val="superscript"/>
    </w:rPr>
  </w:style>
  <w:style w:type="paragraph" w:customStyle="1" w:styleId="Default">
    <w:name w:val="Default"/>
    <w:rsid w:val="00BD3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674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741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A3E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72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608"/>
  </w:style>
  <w:style w:type="paragraph" w:styleId="Piedepgina">
    <w:name w:val="footer"/>
    <w:basedOn w:val="Normal"/>
    <w:link w:val="PiedepginaCar"/>
    <w:uiPriority w:val="99"/>
    <w:unhideWhenUsed/>
    <w:rsid w:val="00172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608"/>
  </w:style>
  <w:style w:type="paragraph" w:styleId="Revisin">
    <w:name w:val="Revision"/>
    <w:hidden/>
    <w:uiPriority w:val="99"/>
    <w:semiHidden/>
    <w:rsid w:val="00BA1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EI-AST@digital.go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4e38255-2c42-4538-999c-5fd53e8456d2}" enabled="0" method="" siteId="{24e38255-2c42-4538-999c-5fd53e8456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687</Words>
  <Characters>4144</Characters>
  <Application>Microsoft Office Word</Application>
  <DocSecurity>0</DocSecurity>
  <Lines>78</Lines>
  <Paragraphs>33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ALVARO PEREDA ARCE</cp:lastModifiedBy>
  <cp:revision>22</cp:revision>
  <dcterms:created xsi:type="dcterms:W3CDTF">2026-05-05T14:50:00Z</dcterms:created>
  <dcterms:modified xsi:type="dcterms:W3CDTF">2026-05-19T07:07:00Z</dcterms:modified>
</cp:coreProperties>
</file>