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1857D" w14:textId="77777777" w:rsidR="00EC058A" w:rsidRDefault="00EC058A" w:rsidP="00A70719">
      <w:pPr>
        <w:spacing w:before="360" w:after="180"/>
        <w:jc w:val="both"/>
        <w:outlineLvl w:val="4"/>
        <w:rPr>
          <w:rFonts w:eastAsia="Times New Roman"/>
          <w:b/>
          <w:bCs/>
          <w:kern w:val="1"/>
          <w:szCs w:val="20"/>
        </w:rPr>
      </w:pPr>
    </w:p>
    <w:p w14:paraId="154333F7" w14:textId="77777777" w:rsidR="00EC058A" w:rsidRDefault="00EC058A" w:rsidP="00A70719">
      <w:pPr>
        <w:spacing w:before="360" w:after="180"/>
        <w:jc w:val="both"/>
        <w:outlineLvl w:val="4"/>
        <w:rPr>
          <w:rFonts w:eastAsia="Times New Roman"/>
          <w:b/>
          <w:bCs/>
          <w:kern w:val="1"/>
          <w:szCs w:val="20"/>
        </w:rPr>
      </w:pPr>
    </w:p>
    <w:p w14:paraId="3CB1DB25" w14:textId="77777777" w:rsidR="00EC058A" w:rsidRDefault="00EC058A" w:rsidP="00A70719">
      <w:pPr>
        <w:spacing w:before="360" w:after="180"/>
        <w:jc w:val="both"/>
        <w:outlineLvl w:val="4"/>
        <w:rPr>
          <w:rFonts w:eastAsia="Times New Roman"/>
          <w:b/>
          <w:bCs/>
          <w:kern w:val="1"/>
          <w:szCs w:val="20"/>
        </w:rPr>
      </w:pPr>
    </w:p>
    <w:p w14:paraId="06DEC26B" w14:textId="77777777" w:rsidR="00EC058A" w:rsidRDefault="00EC058A" w:rsidP="00A70719">
      <w:pPr>
        <w:spacing w:before="360" w:after="180"/>
        <w:jc w:val="both"/>
        <w:outlineLvl w:val="4"/>
        <w:rPr>
          <w:rFonts w:eastAsia="Times New Roman"/>
          <w:b/>
          <w:bCs/>
          <w:kern w:val="1"/>
          <w:szCs w:val="20"/>
        </w:rPr>
      </w:pPr>
    </w:p>
    <w:p w14:paraId="515BFCF3" w14:textId="77777777" w:rsidR="00EC058A" w:rsidRDefault="00EC058A" w:rsidP="00A70719">
      <w:pPr>
        <w:spacing w:before="360" w:after="180"/>
        <w:jc w:val="both"/>
        <w:outlineLvl w:val="4"/>
        <w:rPr>
          <w:rFonts w:eastAsia="Times New Roman"/>
          <w:b/>
          <w:bCs/>
          <w:kern w:val="1"/>
          <w:szCs w:val="20"/>
        </w:rPr>
      </w:pPr>
    </w:p>
    <w:p w14:paraId="1D05C189" w14:textId="77777777" w:rsidR="00EC058A" w:rsidRDefault="00EC058A" w:rsidP="00A70719">
      <w:pPr>
        <w:spacing w:before="360" w:after="180"/>
        <w:jc w:val="both"/>
        <w:outlineLvl w:val="4"/>
        <w:rPr>
          <w:rFonts w:eastAsia="Times New Roman"/>
          <w:b/>
          <w:bCs/>
          <w:kern w:val="1"/>
          <w:szCs w:val="20"/>
        </w:rPr>
      </w:pPr>
    </w:p>
    <w:p w14:paraId="6E1CECD9" w14:textId="77777777" w:rsidR="00EC058A" w:rsidRDefault="00EC058A" w:rsidP="00A70719">
      <w:pPr>
        <w:spacing w:before="360" w:after="180"/>
        <w:jc w:val="both"/>
        <w:outlineLvl w:val="4"/>
        <w:rPr>
          <w:rFonts w:eastAsia="Times New Roman"/>
          <w:b/>
          <w:bCs/>
          <w:kern w:val="1"/>
          <w:szCs w:val="20"/>
        </w:rPr>
      </w:pPr>
    </w:p>
    <w:p w14:paraId="1CFC6DF1" w14:textId="77777777" w:rsidR="00EC058A" w:rsidRDefault="00EC058A" w:rsidP="00A70719">
      <w:pPr>
        <w:spacing w:before="360" w:after="180"/>
        <w:jc w:val="both"/>
        <w:outlineLvl w:val="4"/>
        <w:rPr>
          <w:rFonts w:eastAsia="Times New Roman"/>
          <w:b/>
          <w:bCs/>
          <w:kern w:val="1"/>
          <w:szCs w:val="20"/>
        </w:rPr>
      </w:pPr>
    </w:p>
    <w:p w14:paraId="2CCDBC77" w14:textId="77777777" w:rsidR="00EC058A" w:rsidRDefault="00EC058A" w:rsidP="00A70719">
      <w:pPr>
        <w:spacing w:before="360" w:after="180"/>
        <w:jc w:val="both"/>
        <w:outlineLvl w:val="4"/>
        <w:rPr>
          <w:rFonts w:eastAsia="Times New Roman"/>
          <w:b/>
          <w:bCs/>
          <w:kern w:val="1"/>
          <w:szCs w:val="20"/>
        </w:rPr>
      </w:pPr>
    </w:p>
    <w:p w14:paraId="57C8DB9E" w14:textId="77777777" w:rsidR="00EC058A" w:rsidRDefault="00EC058A" w:rsidP="00A70719">
      <w:pPr>
        <w:spacing w:before="360" w:after="180"/>
        <w:jc w:val="both"/>
        <w:outlineLvl w:val="4"/>
        <w:rPr>
          <w:rFonts w:eastAsia="Times New Roman"/>
          <w:b/>
          <w:bCs/>
          <w:kern w:val="1"/>
          <w:szCs w:val="20"/>
        </w:rPr>
      </w:pPr>
    </w:p>
    <w:p w14:paraId="023D5DC1" w14:textId="6BC3F632" w:rsidR="00EC058A" w:rsidRPr="00EC058A" w:rsidRDefault="00EC058A" w:rsidP="00A70719">
      <w:pPr>
        <w:spacing w:before="360" w:after="180"/>
        <w:jc w:val="both"/>
        <w:outlineLvl w:val="4"/>
        <w:rPr>
          <w:rFonts w:eastAsia="Times New Roman"/>
          <w:b/>
          <w:bCs/>
          <w:szCs w:val="20"/>
        </w:rPr>
      </w:pPr>
      <w:r w:rsidRPr="00EC058A">
        <w:rPr>
          <w:rFonts w:eastAsia="Times New Roman"/>
          <w:b/>
          <w:bCs/>
          <w:kern w:val="1"/>
          <w:szCs w:val="20"/>
        </w:rPr>
        <w:t xml:space="preserve">MEMORIA DEL ANÁLISIS DE IMPACTO NORMATIVO DEL </w:t>
      </w:r>
      <w:r w:rsidRPr="00EC058A">
        <w:rPr>
          <w:rFonts w:eastAsia="Times New Roman"/>
          <w:b/>
          <w:bCs/>
          <w:szCs w:val="20"/>
        </w:rPr>
        <w:t>PROYECTO DE REAL DECRETO POR EL QUE SE REGULA EL ECOSISTEMA DE CARTERA EUROPEA DE IDENTIDAD DIGITAL EN ESPAÑA DE ACUERDO CON EL MARCO EUROPEO DE IDENTIDAD DIGITAL</w:t>
      </w:r>
    </w:p>
    <w:p w14:paraId="0742793A" w14:textId="787534C8" w:rsidR="00EC058A" w:rsidRPr="007B473C" w:rsidRDefault="00EC058A" w:rsidP="00213F01">
      <w:pPr>
        <w:spacing w:before="360" w:after="180"/>
        <w:jc w:val="right"/>
        <w:outlineLvl w:val="4"/>
        <w:rPr>
          <w:rFonts w:eastAsia="Times New Roman"/>
          <w:b/>
          <w:bCs/>
          <w:szCs w:val="20"/>
        </w:rPr>
      </w:pPr>
      <w:r w:rsidRPr="007B473C">
        <w:rPr>
          <w:rFonts w:eastAsia="Times New Roman"/>
          <w:b/>
          <w:bCs/>
          <w:szCs w:val="20"/>
        </w:rPr>
        <w:t>(V</w:t>
      </w:r>
      <w:r w:rsidR="00213F01" w:rsidRPr="007B473C">
        <w:rPr>
          <w:rFonts w:eastAsia="Times New Roman"/>
          <w:b/>
          <w:bCs/>
          <w:szCs w:val="20"/>
        </w:rPr>
        <w:t>-1</w:t>
      </w:r>
      <w:r w:rsidR="00743F03" w:rsidRPr="007B473C">
        <w:rPr>
          <w:rFonts w:eastAsia="Times New Roman"/>
          <w:b/>
          <w:bCs/>
          <w:szCs w:val="20"/>
        </w:rPr>
        <w:t>2</w:t>
      </w:r>
      <w:r w:rsidRPr="007B473C">
        <w:rPr>
          <w:rFonts w:eastAsia="Times New Roman"/>
          <w:b/>
          <w:bCs/>
          <w:szCs w:val="20"/>
        </w:rPr>
        <w:t>)</w:t>
      </w:r>
    </w:p>
    <w:p w14:paraId="1C315DD2" w14:textId="77777777" w:rsidR="00EC058A" w:rsidRPr="00EC058A" w:rsidRDefault="00EC058A" w:rsidP="00A70719">
      <w:pPr>
        <w:keepNext/>
        <w:widowControl w:val="0"/>
        <w:suppressAutoHyphens/>
        <w:spacing w:after="0"/>
        <w:ind w:left="709" w:right="341"/>
        <w:jc w:val="center"/>
        <w:outlineLvl w:val="0"/>
        <w:rPr>
          <w:rFonts w:eastAsia="Times New Roman"/>
          <w:b/>
        </w:rPr>
      </w:pPr>
      <w:r w:rsidRPr="00EC058A">
        <w:rPr>
          <w:rFonts w:eastAsia="Times New Roman"/>
          <w:b/>
        </w:rPr>
        <w:br w:type="page"/>
      </w:r>
    </w:p>
    <w:p w14:paraId="43183BD6" w14:textId="77777777" w:rsidR="00A70719" w:rsidRPr="00A70719" w:rsidRDefault="00A70719" w:rsidP="00A70719">
      <w:pPr>
        <w:shd w:val="clear" w:color="auto" w:fill="000080"/>
        <w:spacing w:before="80" w:after="240"/>
        <w:ind w:right="-68"/>
        <w:jc w:val="both"/>
        <w:rPr>
          <w:rFonts w:eastAsia="Times New Roman"/>
          <w:b/>
          <w:caps/>
          <w:kern w:val="1"/>
        </w:rPr>
      </w:pPr>
      <w:r w:rsidRPr="00A70719">
        <w:rPr>
          <w:rFonts w:eastAsia="Times New Roman"/>
          <w:b/>
          <w:kern w:val="1"/>
        </w:rPr>
        <w:lastRenderedPageBreak/>
        <w:t>RESUMEN EJECUTIVO</w:t>
      </w:r>
    </w:p>
    <w:tbl>
      <w:tblPr>
        <w:tblW w:w="10065" w:type="dxa"/>
        <w:tblInd w:w="94" w:type="dxa"/>
        <w:tblLayout w:type="fixed"/>
        <w:tblCellMar>
          <w:top w:w="100" w:type="dxa"/>
          <w:left w:w="94" w:type="dxa"/>
          <w:bottom w:w="100" w:type="dxa"/>
          <w:right w:w="100" w:type="dxa"/>
        </w:tblCellMar>
        <w:tblLook w:val="0000" w:firstRow="0" w:lastRow="0" w:firstColumn="0" w:lastColumn="0" w:noHBand="0" w:noVBand="0"/>
      </w:tblPr>
      <w:tblGrid>
        <w:gridCol w:w="2634"/>
        <w:gridCol w:w="2642"/>
        <w:gridCol w:w="2042"/>
        <w:gridCol w:w="984"/>
        <w:gridCol w:w="1763"/>
      </w:tblGrid>
      <w:tr w:rsidR="00A70719" w:rsidRPr="00A70719" w14:paraId="2D7E70C4" w14:textId="77777777" w:rsidTr="00197E8F">
        <w:trPr>
          <w:cantSplit/>
          <w:trHeight w:val="1650"/>
        </w:trPr>
        <w:tc>
          <w:tcPr>
            <w:tcW w:w="2634" w:type="dxa"/>
            <w:tcBorders>
              <w:top w:val="single" w:sz="32" w:space="0" w:color="000000" w:themeColor="text1"/>
              <w:left w:val="single" w:sz="32" w:space="0" w:color="000000" w:themeColor="text1"/>
              <w:bottom w:val="single" w:sz="4" w:space="0" w:color="auto"/>
              <w:right w:val="single" w:sz="16" w:space="0" w:color="000000" w:themeColor="text1"/>
            </w:tcBorders>
            <w:shd w:val="clear" w:color="auto" w:fill="E3DFA6"/>
            <w:vAlign w:val="center"/>
          </w:tcPr>
          <w:p w14:paraId="13BC600E"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kern w:val="1"/>
                <w:lang w:val="en-US" w:eastAsia="en-US"/>
              </w:rPr>
            </w:pPr>
            <w:r w:rsidRPr="00222CB8">
              <w:rPr>
                <w:rFonts w:eastAsia="ヒラギノ角ゴ Pro W3"/>
                <w:b/>
                <w:kern w:val="1"/>
                <w:lang w:val="en-US" w:eastAsia="en-US"/>
              </w:rPr>
              <w:t>Ministerio/s</w:t>
            </w:r>
          </w:p>
          <w:p w14:paraId="3CBDAE5C"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kern w:val="1"/>
                <w:lang w:val="en-US" w:eastAsia="en-US"/>
              </w:rPr>
            </w:pPr>
          </w:p>
          <w:p w14:paraId="53D6DEE1"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p>
        </w:tc>
        <w:tc>
          <w:tcPr>
            <w:tcW w:w="4684" w:type="dxa"/>
            <w:gridSpan w:val="2"/>
            <w:tcBorders>
              <w:top w:val="single" w:sz="32" w:space="0" w:color="000000" w:themeColor="text1"/>
              <w:left w:val="single" w:sz="16" w:space="0" w:color="000000" w:themeColor="text1"/>
              <w:bottom w:val="single" w:sz="4" w:space="0" w:color="auto"/>
              <w:right w:val="single" w:sz="4" w:space="0" w:color="auto"/>
            </w:tcBorders>
            <w:shd w:val="clear" w:color="auto" w:fill="EEFFEB"/>
          </w:tcPr>
          <w:p w14:paraId="7531474F"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r w:rsidRPr="00222CB8">
              <w:rPr>
                <w:rFonts w:eastAsia="ヒラギノ角ゴ Pro W3"/>
                <w:kern w:val="1"/>
                <w:lang w:eastAsia="en-US"/>
              </w:rPr>
              <w:t>Ministerio para la Transformación Digital y de la Función Pública.</w:t>
            </w:r>
          </w:p>
          <w:p w14:paraId="7E899F47"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p>
          <w:p w14:paraId="00B0511F"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kern w:val="1"/>
                <w:lang w:eastAsia="en-US"/>
              </w:rPr>
            </w:pPr>
          </w:p>
        </w:tc>
        <w:tc>
          <w:tcPr>
            <w:tcW w:w="984" w:type="dxa"/>
            <w:vMerge w:val="restart"/>
            <w:tcBorders>
              <w:top w:val="single" w:sz="4" w:space="0" w:color="auto"/>
              <w:left w:val="single" w:sz="4" w:space="0" w:color="auto"/>
              <w:bottom w:val="single" w:sz="4" w:space="0" w:color="auto"/>
              <w:right w:val="single" w:sz="4" w:space="0" w:color="auto"/>
            </w:tcBorders>
            <w:shd w:val="clear" w:color="auto" w:fill="E3DFA6"/>
          </w:tcPr>
          <w:p w14:paraId="0724BC27"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s>
              <w:suppressAutoHyphens/>
              <w:spacing w:before="200" w:after="80"/>
              <w:rPr>
                <w:rFonts w:eastAsia="ヒラギノ角ゴ Pro W3"/>
                <w:kern w:val="1"/>
                <w:lang w:val="en-US" w:eastAsia="en-US"/>
              </w:rPr>
            </w:pPr>
            <w:proofErr w:type="spellStart"/>
            <w:r w:rsidRPr="00222CB8">
              <w:rPr>
                <w:rFonts w:eastAsia="ヒラギノ角ゴ Pro W3"/>
                <w:b/>
                <w:kern w:val="1"/>
                <w:lang w:val="en-US" w:eastAsia="en-US"/>
              </w:rPr>
              <w:t>Fecha</w:t>
            </w:r>
            <w:proofErr w:type="spellEnd"/>
          </w:p>
        </w:tc>
        <w:tc>
          <w:tcPr>
            <w:tcW w:w="1763" w:type="dxa"/>
            <w:vMerge w:val="restart"/>
            <w:tcBorders>
              <w:top w:val="single" w:sz="4" w:space="0" w:color="auto"/>
              <w:left w:val="single" w:sz="4" w:space="0" w:color="auto"/>
              <w:bottom w:val="single" w:sz="4" w:space="0" w:color="auto"/>
              <w:right w:val="single" w:sz="4" w:space="0" w:color="auto"/>
            </w:tcBorders>
            <w:shd w:val="clear" w:color="auto" w:fill="EEFFEB"/>
          </w:tcPr>
          <w:p w14:paraId="2752C5E4" w14:textId="3F2F5642" w:rsidR="00213F01" w:rsidRPr="007B473C" w:rsidRDefault="004A61B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s>
              <w:spacing w:before="200" w:after="80"/>
              <w:rPr>
                <w:rFonts w:eastAsia="ヒラギノ角ゴ Pro W3"/>
                <w:szCs w:val="20"/>
                <w:lang w:val="en-US" w:eastAsia="en-US"/>
              </w:rPr>
            </w:pPr>
            <w:r w:rsidRPr="007B473C">
              <w:rPr>
                <w:rFonts w:eastAsia="ヒラギノ角ゴ Pro W3"/>
                <w:szCs w:val="20"/>
                <w:lang w:val="en-US" w:eastAsia="en-US"/>
              </w:rPr>
              <w:t>2</w:t>
            </w:r>
            <w:r w:rsidR="00743F03" w:rsidRPr="007B473C">
              <w:rPr>
                <w:rFonts w:eastAsia="ヒラギノ角ゴ Pro W3"/>
                <w:szCs w:val="20"/>
                <w:lang w:val="en-US" w:eastAsia="en-US"/>
              </w:rPr>
              <w:t>9</w:t>
            </w:r>
            <w:r w:rsidRPr="007B473C">
              <w:rPr>
                <w:rFonts w:eastAsia="ヒラギノ角ゴ Pro W3"/>
                <w:szCs w:val="20"/>
                <w:lang w:val="en-US" w:eastAsia="en-US"/>
              </w:rPr>
              <w:t>/9/26</w:t>
            </w:r>
          </w:p>
        </w:tc>
      </w:tr>
      <w:tr w:rsidR="00A70719" w:rsidRPr="00A70719" w14:paraId="74DC11F9" w14:textId="77777777" w:rsidTr="00197E8F">
        <w:trPr>
          <w:cantSplit/>
          <w:trHeight w:val="991"/>
        </w:trPr>
        <w:tc>
          <w:tcPr>
            <w:tcW w:w="2634" w:type="dxa"/>
            <w:tcBorders>
              <w:top w:val="single" w:sz="4" w:space="0" w:color="auto"/>
              <w:left w:val="single" w:sz="32" w:space="0" w:color="000000" w:themeColor="text1"/>
              <w:right w:val="single" w:sz="16" w:space="0" w:color="000000" w:themeColor="text1"/>
            </w:tcBorders>
            <w:shd w:val="clear" w:color="auto" w:fill="E3DFA6"/>
            <w:vAlign w:val="center"/>
          </w:tcPr>
          <w:p w14:paraId="66B8E27C"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kern w:val="1"/>
                <w:lang w:val="en-US" w:eastAsia="en-US"/>
              </w:rPr>
            </w:pPr>
            <w:proofErr w:type="spellStart"/>
            <w:r w:rsidRPr="00222CB8">
              <w:rPr>
                <w:rFonts w:eastAsia="ヒラギノ角ゴ Pro W3"/>
                <w:b/>
                <w:kern w:val="1"/>
                <w:lang w:val="en-US" w:eastAsia="en-US"/>
              </w:rPr>
              <w:t>Órganos</w:t>
            </w:r>
            <w:proofErr w:type="spellEnd"/>
            <w:r w:rsidRPr="00222CB8">
              <w:rPr>
                <w:rFonts w:eastAsia="ヒラギノ角ゴ Pro W3"/>
                <w:b/>
                <w:kern w:val="1"/>
                <w:lang w:val="en-US" w:eastAsia="en-US"/>
              </w:rPr>
              <w:t xml:space="preserve"> </w:t>
            </w:r>
            <w:proofErr w:type="spellStart"/>
            <w:r w:rsidRPr="00222CB8">
              <w:rPr>
                <w:rFonts w:eastAsia="ヒラギノ角ゴ Pro W3"/>
                <w:b/>
                <w:kern w:val="1"/>
                <w:lang w:val="en-US" w:eastAsia="en-US"/>
              </w:rPr>
              <w:t>proponentes</w:t>
            </w:r>
            <w:proofErr w:type="spellEnd"/>
          </w:p>
        </w:tc>
        <w:tc>
          <w:tcPr>
            <w:tcW w:w="4684" w:type="dxa"/>
            <w:gridSpan w:val="2"/>
            <w:tcBorders>
              <w:top w:val="single" w:sz="4" w:space="0" w:color="auto"/>
              <w:left w:val="single" w:sz="16" w:space="0" w:color="000000" w:themeColor="text1"/>
              <w:right w:val="single" w:sz="4" w:space="0" w:color="auto"/>
            </w:tcBorders>
            <w:shd w:val="clear" w:color="auto" w:fill="EEFFEB"/>
          </w:tcPr>
          <w:p w14:paraId="5DD597FC"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before="200" w:after="80"/>
              <w:rPr>
                <w:rFonts w:eastAsia="ヒラギノ角ゴ Pro W3"/>
                <w:szCs w:val="20"/>
                <w:lang w:eastAsia="en-US"/>
              </w:rPr>
            </w:pPr>
            <w:r w:rsidRPr="00222CB8">
              <w:rPr>
                <w:rFonts w:eastAsia="ヒラギノ角ゴ Pro W3"/>
                <w:szCs w:val="20"/>
                <w:lang w:eastAsia="en-US"/>
              </w:rPr>
              <w:t>Agencia Estatal de Administración Digital</w:t>
            </w:r>
          </w:p>
          <w:p w14:paraId="6634741D"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pacing w:before="200" w:after="80"/>
              <w:rPr>
                <w:rFonts w:eastAsia="ヒラギノ角ゴ Pro W3"/>
                <w:szCs w:val="20"/>
                <w:lang w:eastAsia="en-US"/>
              </w:rPr>
            </w:pPr>
            <w:r w:rsidRPr="00222CB8">
              <w:rPr>
                <w:rFonts w:eastAsia="ヒラギノ角ゴ Pro W3"/>
                <w:szCs w:val="20"/>
                <w:lang w:eastAsia="en-US"/>
              </w:rPr>
              <w:t>Secretaría de Estado de Digitalización e Inteligencia Artificial</w:t>
            </w:r>
          </w:p>
        </w:tc>
        <w:tc>
          <w:tcPr>
            <w:tcW w:w="984" w:type="dxa"/>
            <w:vMerge/>
            <w:tcBorders>
              <w:top w:val="single" w:sz="4" w:space="0" w:color="auto"/>
              <w:left w:val="single" w:sz="4" w:space="0" w:color="auto"/>
              <w:bottom w:val="single" w:sz="4" w:space="0" w:color="auto"/>
              <w:right w:val="single" w:sz="4" w:space="0" w:color="auto"/>
            </w:tcBorders>
          </w:tcPr>
          <w:p w14:paraId="05576703"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s>
              <w:suppressAutoHyphens/>
              <w:spacing w:before="200" w:after="80"/>
              <w:rPr>
                <w:rFonts w:eastAsia="ヒラギノ角ゴ Pro W3"/>
                <w:b/>
                <w:kern w:val="1"/>
                <w:lang w:eastAsia="en-US"/>
              </w:rPr>
            </w:pPr>
          </w:p>
        </w:tc>
        <w:tc>
          <w:tcPr>
            <w:tcW w:w="1763" w:type="dxa"/>
            <w:vMerge/>
            <w:tcBorders>
              <w:top w:val="single" w:sz="4" w:space="0" w:color="auto"/>
              <w:left w:val="single" w:sz="4" w:space="0" w:color="auto"/>
              <w:bottom w:val="single" w:sz="4" w:space="0" w:color="auto"/>
              <w:right w:val="single" w:sz="4" w:space="0" w:color="auto"/>
            </w:tcBorders>
          </w:tcPr>
          <w:p w14:paraId="051795D7"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s>
              <w:suppressAutoHyphens/>
              <w:spacing w:before="200" w:after="80"/>
              <w:rPr>
                <w:rFonts w:eastAsia="ヒラギノ角ゴ Pro W3"/>
                <w:kern w:val="1"/>
                <w:lang w:eastAsia="en-US"/>
              </w:rPr>
            </w:pPr>
          </w:p>
        </w:tc>
      </w:tr>
      <w:tr w:rsidR="00A70719" w:rsidRPr="00A70719" w14:paraId="509930DA" w14:textId="77777777" w:rsidTr="00197E8F">
        <w:tblPrEx>
          <w:tblCellMar>
            <w:left w:w="60" w:type="dxa"/>
          </w:tblCellMar>
        </w:tblPrEx>
        <w:trPr>
          <w:cantSplit/>
          <w:trHeight w:val="300"/>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vAlign w:val="center"/>
          </w:tcPr>
          <w:p w14:paraId="39AA787D"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iCs/>
                <w:kern w:val="1"/>
                <w:lang w:val="en-US" w:eastAsia="en-US"/>
              </w:rPr>
            </w:pPr>
            <w:proofErr w:type="spellStart"/>
            <w:r w:rsidRPr="00222CB8">
              <w:rPr>
                <w:rFonts w:eastAsia="ヒラギノ角ゴ Pro W3"/>
                <w:b/>
                <w:kern w:val="1"/>
                <w:lang w:val="en-US" w:eastAsia="en-US"/>
              </w:rPr>
              <w:t>Título</w:t>
            </w:r>
            <w:proofErr w:type="spellEnd"/>
            <w:r w:rsidRPr="00222CB8">
              <w:rPr>
                <w:rFonts w:eastAsia="ヒラギノ角ゴ Pro W3"/>
                <w:b/>
                <w:kern w:val="1"/>
                <w:lang w:val="en-US" w:eastAsia="en-US"/>
              </w:rPr>
              <w:t xml:space="preserve"> de la norma</w:t>
            </w:r>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tcPr>
          <w:p w14:paraId="5BDD3723"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jc w:val="both"/>
              <w:rPr>
                <w:rFonts w:eastAsia="ヒラギノ角ゴ Pro W3"/>
                <w:kern w:val="1"/>
                <w:szCs w:val="20"/>
                <w:lang w:eastAsia="en-US"/>
              </w:rPr>
            </w:pPr>
            <w:r w:rsidRPr="00222CB8">
              <w:rPr>
                <w:rFonts w:eastAsia="ヒラギノ角ゴ Pro W3"/>
                <w:kern w:val="1"/>
                <w:szCs w:val="20"/>
                <w:lang w:eastAsia="en-US"/>
              </w:rPr>
              <w:t xml:space="preserve">Proyecto de Real Decreto </w:t>
            </w:r>
            <w:r w:rsidRPr="00222CB8">
              <w:rPr>
                <w:rFonts w:eastAsia="ヒラギノ角ゴ Pro W3"/>
                <w:szCs w:val="20"/>
                <w:lang w:eastAsia="en-US"/>
              </w:rPr>
              <w:t>por el que se regula el ecosistema de cartera europea de identidad digital en España de acuerdo con el Marco europeo de identidad digital</w:t>
            </w:r>
          </w:p>
        </w:tc>
      </w:tr>
      <w:tr w:rsidR="00A70719" w:rsidRPr="00A70719" w14:paraId="500A0CA8" w14:textId="77777777" w:rsidTr="00197E8F">
        <w:tblPrEx>
          <w:tblCellMar>
            <w:left w:w="60" w:type="dxa"/>
          </w:tblCellMar>
        </w:tblPrEx>
        <w:trPr>
          <w:cantSplit/>
          <w:trHeight w:val="340"/>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vAlign w:val="center"/>
          </w:tcPr>
          <w:p w14:paraId="1FF3EDB2"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r w:rsidRPr="00222CB8">
              <w:rPr>
                <w:rFonts w:eastAsia="ヒラギノ角ゴ Pro W3"/>
                <w:b/>
                <w:kern w:val="1"/>
                <w:lang w:val="en-US" w:eastAsia="en-US"/>
              </w:rPr>
              <w:t>Tipo de Memoria</w:t>
            </w:r>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tcPr>
          <w:p w14:paraId="6BF2789D"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jc w:val="center"/>
              <w:rPr>
                <w:rFonts w:eastAsia="ヒラギノ角ゴ Pro W3"/>
                <w:kern w:val="1"/>
                <w:lang w:val="en-US" w:eastAsia="en-US"/>
              </w:rPr>
            </w:pPr>
            <w:r w:rsidRPr="00222CB8">
              <w:rPr>
                <w:rFonts w:eastAsia="ヒラギノ角ゴ Pro W3"/>
                <w:noProof/>
                <w:kern w:val="1"/>
              </w:rPr>
              <mc:AlternateContent>
                <mc:Choice Requires="wps">
                  <w:drawing>
                    <wp:anchor distT="0" distB="0" distL="114300" distR="114300" simplePos="0" relativeHeight="251659264" behindDoc="0" locked="0" layoutInCell="1" allowOverlap="1" wp14:anchorId="1BCABF89" wp14:editId="4C229F12">
                      <wp:simplePos x="0" y="0"/>
                      <wp:positionH relativeFrom="column">
                        <wp:posOffset>3469005</wp:posOffset>
                      </wp:positionH>
                      <wp:positionV relativeFrom="paragraph">
                        <wp:posOffset>118745</wp:posOffset>
                      </wp:positionV>
                      <wp:extent cx="285750" cy="229870"/>
                      <wp:effectExtent l="0" t="0" r="19050" b="17780"/>
                      <wp:wrapNone/>
                      <wp:docPr id="7" name="7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 cy="229870"/>
                              </a:xfrm>
                              <a:prstGeom prst="rect">
                                <a:avLst/>
                              </a:prstGeom>
                              <a:solidFill>
                                <a:sysClr val="window" lastClr="FFFFFF"/>
                              </a:solidFill>
                              <a:ln w="6350">
                                <a:solidFill>
                                  <a:prstClr val="black"/>
                                </a:solidFill>
                              </a:ln>
                              <a:effectLst/>
                            </wps:spPr>
                            <wps:txbx>
                              <w:txbxContent>
                                <w:p w14:paraId="4922475B" w14:textId="77777777" w:rsidR="00A70719" w:rsidRDefault="00A70719" w:rsidP="00A707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CABF89" id="_x0000_t202" coordsize="21600,21600" o:spt="202" path="m,l,21600r21600,l21600,xe">
                      <v:stroke joinstyle="miter"/>
                      <v:path gradientshapeok="t" o:connecttype="rect"/>
                    </v:shapetype>
                    <v:shape id="7 Cuadro de texto" o:spid="_x0000_s1026" type="#_x0000_t202" style="position:absolute;left:0;text-align:left;margin-left:273.15pt;margin-top:9.35pt;width:22.5pt;height:1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xiNTgIAALMEAAAOAAAAZHJzL2Uyb0RvYy54bWysVE1vGjEQvVfqf7B8bxZoPldZIpqIqhJK&#10;IiVVzsbrhVW8Htc27NJf32ezQBJ6qsrBzHjG8/HmzV7fdI1ma+V8Tabgw5MBZ8pIKmuzKPjP5+mX&#10;S858EKYUmowq+EZ5fjP+/Om6tbka0ZJ0qRxDEOPz1hZ8GYLNs8zLpWqEPyGrDIwVuUYEqG6RlU60&#10;iN7obDQYnGctudI6ksp73N5tjXyc4leVkuGhqrwKTBcctYV0unTO45mNr0W+cMIua9mXIf6hikbU&#10;Bkn3oe5EEGzl6qNQTS0dearCiaQmo6qqpUo9oJvh4EM3T0thVeoF4Hi7h8n/v7Dyfv1kHx0L3Tfq&#10;MMDUhLczkq8e2GSt9XnvEzH1uYd3bLSrXBP/0QLDQ2C72eOpusAkLkeXZxdnsEiYRqOry4uEd3Z4&#10;bJ0P3xU1LAoFdxhXKkCsZz7E9CLfucRcnnRdTmutk7Lxt9qxtcBkQYiSWs608AGXBZ+mX5wuQrx7&#10;pg1rC37+FXUdhYy59jHnWsjX4wiIp018qRK7+joPyEQpdPMOqaM4p3IDeB1tmeetnNbIMkOhj8KB&#10;aoAH6xMecFSaUBr1EmdLcr//dh/9wQBYOWtB3YL7XyvhFPr/YcCNq+HpaeR6Uk7PLkZQ3FvL/K3F&#10;rJpbAoZDLKqVSYz+Qe/EylHzgi2bxKwwCSORu+BhJ96G7UJhS6WaTJIT2G1FmJknK3esiug+dy/C&#10;2X7cATy5px3JRf5h6lvfCLWhySpQVSdKHFDt6YnNSGPutziu3ls9eR2+NeM/AAAA//8DAFBLAwQU&#10;AAYACAAAACEAOn/9jN8AAAAJAQAADwAAAGRycy9kb3ducmV2LnhtbEyPwU7DMAyG70i8Q2Qkbiwd&#10;o2MtTacxCQEnxEBC3NLGa6s2TtVkXff2805wtL9fvz9n68l2YsTBN44UzGcRCKTSmYYqBd9fL3cr&#10;ED5oMrpzhApO6GGdX19lOjXuSJ847kIluIR8qhXUIfSplL6s0Wo/cz0Ss70brA48DpU0gz5yue3k&#10;fRQtpdUN8YVa97itsWx3B6tg8/FevPlysR9Nu8XXn+e+TX5jpW5vps0TiIBT+AvDRZ/VIWenwh3I&#10;eNEpiB+WC44yWD2C4ECczHlRXEgCMs/k/w/yMwAAAP//AwBQSwECLQAUAAYACAAAACEAtoM4kv4A&#10;AADhAQAAEwAAAAAAAAAAAAAAAAAAAAAAW0NvbnRlbnRfVHlwZXNdLnhtbFBLAQItABQABgAIAAAA&#10;IQA4/SH/1gAAAJQBAAALAAAAAAAAAAAAAAAAAC8BAABfcmVscy8ucmVsc1BLAQItABQABgAIAAAA&#10;IQB6yxiNTgIAALMEAAAOAAAAAAAAAAAAAAAAAC4CAABkcnMvZTJvRG9jLnhtbFBLAQItABQABgAI&#10;AAAAIQA6f/2M3wAAAAkBAAAPAAAAAAAAAAAAAAAAAKgEAABkcnMvZG93bnJldi54bWxQSwUGAAAA&#10;AAQABADzAAAAtAUAAAAA&#10;" fillcolor="window" strokeweight=".5pt">
                      <v:path arrowok="t"/>
                      <v:textbox>
                        <w:txbxContent>
                          <w:p w14:paraId="4922475B" w14:textId="77777777" w:rsidR="00A70719" w:rsidRDefault="00A70719" w:rsidP="00A70719"/>
                        </w:txbxContent>
                      </v:textbox>
                    </v:shape>
                  </w:pict>
                </mc:Fallback>
              </mc:AlternateContent>
            </w:r>
            <w:r w:rsidRPr="00222CB8">
              <w:rPr>
                <w:rFonts w:eastAsia="ヒラギノ角ゴ Pro W3"/>
                <w:kern w:val="1"/>
                <w:lang w:val="en-US" w:eastAsia="en-US"/>
              </w:rPr>
              <w:t xml:space="preserve">Normal    </w:t>
            </w:r>
            <w:r w:rsidRPr="00222CB8">
              <w:rPr>
                <w:rFonts w:eastAsia="ヒラギノ角ゴ Pro W3"/>
                <w:noProof/>
                <w:kern w:val="1"/>
              </w:rPr>
              <w:drawing>
                <wp:inline distT="0" distB="0" distL="0" distR="0" wp14:anchorId="673D4722" wp14:editId="34DEDC23">
                  <wp:extent cx="209550" cy="20955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pic:spPr>
                      </pic:pic>
                    </a:graphicData>
                  </a:graphic>
                </wp:inline>
              </w:drawing>
            </w:r>
            <w:r w:rsidRPr="00222CB8">
              <w:rPr>
                <w:rFonts w:eastAsia="ヒラギノ角ゴ Pro W3"/>
                <w:kern w:val="1"/>
                <w:lang w:val="en-US" w:eastAsia="en-US"/>
              </w:rPr>
              <w:t xml:space="preserve">                  </w:t>
            </w:r>
            <w:proofErr w:type="spellStart"/>
            <w:r w:rsidRPr="00222CB8">
              <w:rPr>
                <w:rFonts w:eastAsia="ヒラギノ角ゴ Pro W3"/>
                <w:kern w:val="1"/>
                <w:lang w:val="en-US" w:eastAsia="en-US"/>
              </w:rPr>
              <w:t>Abreviada</w:t>
            </w:r>
            <w:proofErr w:type="spellEnd"/>
            <w:r w:rsidRPr="00222CB8">
              <w:rPr>
                <w:rFonts w:eastAsia="ヒラギノ角ゴ Pro W3"/>
                <w:kern w:val="1"/>
                <w:lang w:val="en-US" w:eastAsia="en-US"/>
              </w:rPr>
              <w:t xml:space="preserve">  </w:t>
            </w:r>
          </w:p>
        </w:tc>
      </w:tr>
      <w:tr w:rsidR="00A70719" w:rsidRPr="00A70719" w14:paraId="522667C1" w14:textId="77777777" w:rsidTr="00197E8F">
        <w:tblPrEx>
          <w:tblCellMar>
            <w:left w:w="20" w:type="dxa"/>
          </w:tblCellMar>
        </w:tblPrEx>
        <w:trPr>
          <w:cantSplit/>
          <w:trHeight w:val="322"/>
        </w:trPr>
        <w:tc>
          <w:tcPr>
            <w:tcW w:w="10065" w:type="dxa"/>
            <w:gridSpan w:val="5"/>
            <w:tcBorders>
              <w:top w:val="single" w:sz="16" w:space="0" w:color="000000" w:themeColor="text1"/>
              <w:left w:val="single" w:sz="32" w:space="0" w:color="000000" w:themeColor="text1"/>
              <w:bottom w:val="single" w:sz="16" w:space="0" w:color="000000" w:themeColor="text1"/>
              <w:right w:val="single" w:sz="32" w:space="0" w:color="000000" w:themeColor="text1"/>
            </w:tcBorders>
            <w:shd w:val="clear" w:color="auto" w:fill="ECDF00"/>
          </w:tcPr>
          <w:p w14:paraId="2C9458FB"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jc w:val="center"/>
              <w:rPr>
                <w:rFonts w:eastAsia="ヒラギノ角ゴ Pro W3"/>
                <w:kern w:val="1"/>
                <w:lang w:val="en-US" w:eastAsia="en-US"/>
              </w:rPr>
            </w:pPr>
            <w:r w:rsidRPr="00222CB8">
              <w:rPr>
                <w:rFonts w:eastAsia="ヒラギノ角ゴ Pro W3"/>
                <w:b/>
                <w:kern w:val="1"/>
                <w:lang w:val="en-US" w:eastAsia="en-US"/>
              </w:rPr>
              <w:t>OPORTUNIDAD DE LA PROPUESTA</w:t>
            </w:r>
          </w:p>
        </w:tc>
      </w:tr>
      <w:tr w:rsidR="00A70719" w:rsidRPr="00A70719" w14:paraId="31CDCBA3" w14:textId="77777777" w:rsidTr="00197E8F">
        <w:tblPrEx>
          <w:tblCellMar>
            <w:left w:w="60" w:type="dxa"/>
          </w:tblCellMar>
        </w:tblPrEx>
        <w:trPr>
          <w:cantSplit/>
          <w:trHeight w:val="1454"/>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vAlign w:val="center"/>
          </w:tcPr>
          <w:p w14:paraId="26673766"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proofErr w:type="spellStart"/>
            <w:r w:rsidRPr="00222CB8">
              <w:rPr>
                <w:rFonts w:eastAsia="ヒラギノ角ゴ Pro W3"/>
                <w:b/>
                <w:kern w:val="1"/>
                <w:lang w:val="en-US" w:eastAsia="en-US"/>
              </w:rPr>
              <w:t>Situación</w:t>
            </w:r>
            <w:proofErr w:type="spellEnd"/>
            <w:r w:rsidRPr="00222CB8">
              <w:rPr>
                <w:rFonts w:eastAsia="ヒラギノ角ゴ Pro W3"/>
                <w:b/>
                <w:kern w:val="1"/>
                <w:lang w:val="en-US" w:eastAsia="en-US"/>
              </w:rPr>
              <w:t xml:space="preserve"> </w:t>
            </w:r>
            <w:proofErr w:type="spellStart"/>
            <w:r w:rsidRPr="00222CB8">
              <w:rPr>
                <w:rFonts w:eastAsia="ヒラギノ角ゴ Pro W3"/>
                <w:b/>
                <w:kern w:val="1"/>
                <w:lang w:val="en-US" w:eastAsia="en-US"/>
              </w:rPr>
              <w:t>que</w:t>
            </w:r>
            <w:proofErr w:type="spellEnd"/>
            <w:r w:rsidRPr="00222CB8">
              <w:rPr>
                <w:rFonts w:eastAsia="ヒラギノ角ゴ Pro W3"/>
                <w:b/>
                <w:kern w:val="1"/>
                <w:lang w:val="en-US" w:eastAsia="en-US"/>
              </w:rPr>
              <w:t xml:space="preserve"> se regula</w:t>
            </w:r>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tcPr>
          <w:p w14:paraId="60C50730" w14:textId="77777777" w:rsidR="00A70719" w:rsidRPr="00222CB8" w:rsidRDefault="00A70719" w:rsidP="00A70719">
            <w:pPr>
              <w:tabs>
                <w:tab w:val="left" w:pos="9356"/>
              </w:tabs>
              <w:suppressAutoHyphens/>
              <w:spacing w:after="0"/>
              <w:jc w:val="both"/>
              <w:rPr>
                <w:rFonts w:eastAsia="Times New Roman"/>
                <w:kern w:val="1"/>
                <w:szCs w:val="20"/>
                <w:lang w:eastAsia="en-US"/>
              </w:rPr>
            </w:pPr>
            <w:r w:rsidRPr="00222CB8">
              <w:rPr>
                <w:rFonts w:eastAsia="Times New Roman"/>
                <w:kern w:val="1"/>
                <w:szCs w:val="20"/>
                <w:lang w:eastAsia="en-US"/>
              </w:rPr>
              <w:t xml:space="preserve">Este real decreto tiene por objeto designar las autoridades competentes en el ámbito nacional y atribuir las funciones que les corresponden en el ecosistema de la cartera europea de identidad digital en España, con el fin de asegurar su provisión, certificación, supervisión, gobernanza y operatividad, de acuerdo con lo previsto en el Reglamento (UE) </w:t>
            </w:r>
            <w:proofErr w:type="spellStart"/>
            <w:r w:rsidRPr="00222CB8">
              <w:rPr>
                <w:rFonts w:eastAsia="Times New Roman"/>
                <w:kern w:val="1"/>
                <w:szCs w:val="20"/>
                <w:lang w:eastAsia="en-US"/>
              </w:rPr>
              <w:t>Nº</w:t>
            </w:r>
            <w:proofErr w:type="spellEnd"/>
            <w:r w:rsidRPr="00222CB8">
              <w:rPr>
                <w:rFonts w:eastAsia="Times New Roman"/>
                <w:kern w:val="1"/>
                <w:szCs w:val="20"/>
                <w:lang w:eastAsia="en-US"/>
              </w:rPr>
              <w:t xml:space="preserve"> 910/2014, del Parlamento Europeo y del Consejo, de 23 de julio de 2014, relativo a la identificación electrónica y los servicios de confianza para las transacciones electrónicas en el mercado interior y por el que se deroga la Directiva 1999/93/CE, tras su modificación por el Reglamento (UE) 2024/1183 del Parlamento Europeo y del Consejo, de 11 de abril de 2024, por el que se modifica el Reglamento (UE) </w:t>
            </w:r>
            <w:proofErr w:type="spellStart"/>
            <w:r w:rsidRPr="00222CB8">
              <w:rPr>
                <w:rFonts w:eastAsia="Times New Roman"/>
                <w:kern w:val="1"/>
                <w:szCs w:val="20"/>
                <w:lang w:eastAsia="en-US"/>
              </w:rPr>
              <w:t>Nº</w:t>
            </w:r>
            <w:proofErr w:type="spellEnd"/>
            <w:r w:rsidRPr="00222CB8">
              <w:rPr>
                <w:rFonts w:eastAsia="Times New Roman"/>
                <w:kern w:val="1"/>
                <w:szCs w:val="20"/>
                <w:lang w:eastAsia="en-US"/>
              </w:rPr>
              <w:t xml:space="preserve">  910/2014 en lo que respecta al establecimiento del nuevo marco europeo de identidad digital, y de acuerdo con lo previsto sus reglamentos de ejecución aplicables.</w:t>
            </w:r>
          </w:p>
          <w:p w14:paraId="01B1B30E" w14:textId="77777777" w:rsidR="00A70719" w:rsidRPr="00222CB8" w:rsidRDefault="00A70719" w:rsidP="00A70719">
            <w:pPr>
              <w:tabs>
                <w:tab w:val="left" w:pos="9356"/>
              </w:tabs>
              <w:suppressAutoHyphens/>
              <w:spacing w:after="0"/>
              <w:jc w:val="both"/>
              <w:rPr>
                <w:rFonts w:eastAsia="Times New Roman"/>
                <w:kern w:val="1"/>
                <w:szCs w:val="20"/>
                <w:lang w:eastAsia="en-US"/>
              </w:rPr>
            </w:pPr>
          </w:p>
          <w:p w14:paraId="192EC1CE" w14:textId="77777777" w:rsidR="00A70719" w:rsidRPr="00222CB8" w:rsidRDefault="00A70719" w:rsidP="00A70719">
            <w:pPr>
              <w:tabs>
                <w:tab w:val="left" w:pos="9356"/>
              </w:tabs>
              <w:suppressAutoHyphens/>
              <w:spacing w:after="0"/>
              <w:jc w:val="both"/>
              <w:rPr>
                <w:rFonts w:eastAsia="Times New Roman"/>
                <w:kern w:val="1"/>
                <w:szCs w:val="20"/>
                <w:lang w:eastAsia="en-US"/>
              </w:rPr>
            </w:pPr>
          </w:p>
        </w:tc>
      </w:tr>
      <w:tr w:rsidR="00A70719" w:rsidRPr="00A70719" w14:paraId="5C37913E" w14:textId="77777777" w:rsidTr="00197E8F">
        <w:tblPrEx>
          <w:tblCellMar>
            <w:left w:w="60" w:type="dxa"/>
          </w:tblCellMar>
        </w:tblPrEx>
        <w:trPr>
          <w:cantSplit/>
          <w:trHeight w:val="581"/>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vAlign w:val="center"/>
          </w:tcPr>
          <w:p w14:paraId="3F0A07DA"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proofErr w:type="spellStart"/>
            <w:r w:rsidRPr="00222CB8">
              <w:rPr>
                <w:rFonts w:eastAsia="ヒラギノ角ゴ Pro W3"/>
                <w:b/>
                <w:kern w:val="1"/>
                <w:lang w:val="en-US" w:eastAsia="en-US"/>
              </w:rPr>
              <w:lastRenderedPageBreak/>
              <w:t>Objetivos</w:t>
            </w:r>
            <w:proofErr w:type="spellEnd"/>
            <w:r w:rsidRPr="00222CB8">
              <w:rPr>
                <w:rFonts w:eastAsia="ヒラギノ角ゴ Pro W3"/>
                <w:b/>
                <w:kern w:val="1"/>
                <w:lang w:val="en-US" w:eastAsia="en-US"/>
              </w:rPr>
              <w:t xml:space="preserve"> </w:t>
            </w:r>
            <w:proofErr w:type="spellStart"/>
            <w:r w:rsidRPr="00222CB8">
              <w:rPr>
                <w:rFonts w:eastAsia="ヒラギノ角ゴ Pro W3"/>
                <w:b/>
                <w:kern w:val="1"/>
                <w:lang w:val="en-US" w:eastAsia="en-US"/>
              </w:rPr>
              <w:t>que</w:t>
            </w:r>
            <w:proofErr w:type="spellEnd"/>
            <w:r w:rsidRPr="00222CB8">
              <w:rPr>
                <w:rFonts w:eastAsia="ヒラギノ角ゴ Pro W3"/>
                <w:b/>
                <w:kern w:val="1"/>
                <w:lang w:val="en-US" w:eastAsia="en-US"/>
              </w:rPr>
              <w:t xml:space="preserve"> se </w:t>
            </w:r>
            <w:proofErr w:type="spellStart"/>
            <w:r w:rsidRPr="00222CB8">
              <w:rPr>
                <w:rFonts w:eastAsia="ヒラギノ角ゴ Pro W3"/>
                <w:b/>
                <w:kern w:val="1"/>
                <w:lang w:val="en-US" w:eastAsia="en-US"/>
              </w:rPr>
              <w:t>persiguen</w:t>
            </w:r>
            <w:proofErr w:type="spellEnd"/>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tcPr>
          <w:p w14:paraId="7EDC15A7" w14:textId="77777777" w:rsidR="00A70719" w:rsidRPr="00222CB8" w:rsidRDefault="00A70719" w:rsidP="00A70719">
            <w:pPr>
              <w:spacing w:after="0"/>
              <w:jc w:val="both"/>
              <w:rPr>
                <w:rFonts w:eastAsia="Times New Roman"/>
                <w:szCs w:val="20"/>
                <w:lang w:eastAsia="en-US"/>
              </w:rPr>
            </w:pPr>
            <w:r w:rsidRPr="00222CB8">
              <w:rPr>
                <w:rFonts w:eastAsia="Calibri"/>
                <w:szCs w:val="20"/>
                <w:lang w:eastAsia="en-US"/>
              </w:rPr>
              <w:t>Establecer la estructura de gobernanza y las autoridades competentes para el despliegue en España de la Cartera Europea de Identidad Digital como un medio de identificación electrónica de nivel de seguridad "alto", garantizando la interoperabilidad transfronteriza y el control exclusivo del ciudadano sobre su identidad digital.</w:t>
            </w:r>
          </w:p>
        </w:tc>
      </w:tr>
      <w:tr w:rsidR="00A70719" w:rsidRPr="00A70719" w14:paraId="7976879C" w14:textId="77777777" w:rsidTr="00197E8F">
        <w:tblPrEx>
          <w:tblCellMar>
            <w:left w:w="60" w:type="dxa"/>
          </w:tblCellMar>
        </w:tblPrEx>
        <w:trPr>
          <w:cantSplit/>
          <w:trHeight w:val="581"/>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tcPr>
          <w:p w14:paraId="5ACBCED0"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proofErr w:type="spellStart"/>
            <w:r w:rsidRPr="00222CB8">
              <w:rPr>
                <w:rFonts w:eastAsia="ヒラギノ角ゴ Pro W3"/>
                <w:b/>
                <w:kern w:val="1"/>
                <w:lang w:val="en-US" w:eastAsia="en-US"/>
              </w:rPr>
              <w:t>Principales</w:t>
            </w:r>
            <w:proofErr w:type="spellEnd"/>
            <w:r w:rsidRPr="00222CB8">
              <w:rPr>
                <w:rFonts w:eastAsia="ヒラギノ角ゴ Pro W3"/>
                <w:b/>
                <w:kern w:val="1"/>
                <w:lang w:val="en-US" w:eastAsia="en-US"/>
              </w:rPr>
              <w:t xml:space="preserve"> </w:t>
            </w:r>
            <w:proofErr w:type="spellStart"/>
            <w:r w:rsidRPr="00222CB8">
              <w:rPr>
                <w:rFonts w:eastAsia="ヒラギノ角ゴ Pro W3"/>
                <w:b/>
                <w:kern w:val="1"/>
                <w:lang w:val="en-US" w:eastAsia="en-US"/>
              </w:rPr>
              <w:t>alternativas</w:t>
            </w:r>
            <w:proofErr w:type="spellEnd"/>
            <w:r w:rsidRPr="00222CB8">
              <w:rPr>
                <w:rFonts w:eastAsia="ヒラギノ角ゴ Pro W3"/>
                <w:b/>
                <w:kern w:val="1"/>
                <w:lang w:val="en-US" w:eastAsia="en-US"/>
              </w:rPr>
              <w:t xml:space="preserve"> </w:t>
            </w:r>
            <w:proofErr w:type="spellStart"/>
            <w:r w:rsidRPr="00222CB8">
              <w:rPr>
                <w:rFonts w:eastAsia="ヒラギノ角ゴ Pro W3"/>
                <w:b/>
                <w:kern w:val="1"/>
                <w:lang w:val="en-US" w:eastAsia="en-US"/>
              </w:rPr>
              <w:t>consideradas</w:t>
            </w:r>
            <w:proofErr w:type="spellEnd"/>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vAlign w:val="center"/>
          </w:tcPr>
          <w:p w14:paraId="5D24FC2D" w14:textId="5A69EB1C" w:rsidR="002047A6" w:rsidRPr="00222CB8" w:rsidRDefault="002047A6" w:rsidP="00A70719">
            <w:pPr>
              <w:tabs>
                <w:tab w:val="left" w:pos="9356"/>
              </w:tabs>
              <w:suppressAutoHyphens/>
              <w:spacing w:after="0"/>
              <w:jc w:val="both"/>
              <w:rPr>
                <w:rFonts w:eastAsia="Times New Roman"/>
                <w:szCs w:val="20"/>
                <w:lang w:eastAsia="en-US"/>
              </w:rPr>
            </w:pPr>
            <w:r w:rsidRPr="00222CB8">
              <w:rPr>
                <w:rFonts w:eastAsia="Times New Roman"/>
                <w:szCs w:val="20"/>
                <w:lang w:eastAsia="en-US"/>
              </w:rPr>
              <w:t xml:space="preserve">El Reglamento </w:t>
            </w:r>
            <w:proofErr w:type="spellStart"/>
            <w:r w:rsidRPr="00222CB8">
              <w:rPr>
                <w:rFonts w:eastAsia="Times New Roman"/>
                <w:szCs w:val="20"/>
                <w:lang w:eastAsia="en-US"/>
              </w:rPr>
              <w:t>eIDAS</w:t>
            </w:r>
            <w:proofErr w:type="spellEnd"/>
            <w:r w:rsidRPr="00222CB8">
              <w:rPr>
                <w:rFonts w:eastAsia="Times New Roman"/>
                <w:szCs w:val="20"/>
                <w:lang w:eastAsia="en-US"/>
              </w:rPr>
              <w:t xml:space="preserve"> 2 obliga en diversos preceptos a disponer de organismos nacionales con funciones específicas (por ejemplo, el artículo 12.bis indica la necesidad de disponer de un organismo de evaluación de los sistemas de identificación electrónica, el artículo 30 se refiere a necesidad de que los Estados miembros designen a los organismos con capacidad para certificar los dispositivos cualificados de creación de firmas, o el artículo 46.bis, que determina que los Estados miembros designarán los organismos de supervisión en su territorio</w:t>
            </w:r>
            <w:r w:rsidR="00800349">
              <w:rPr>
                <w:rFonts w:eastAsia="Times New Roman"/>
                <w:szCs w:val="20"/>
                <w:lang w:eastAsia="en-US"/>
              </w:rPr>
              <w:t>)</w:t>
            </w:r>
            <w:r w:rsidRPr="00222CB8">
              <w:rPr>
                <w:rFonts w:eastAsia="Times New Roman"/>
                <w:szCs w:val="20"/>
                <w:lang w:eastAsia="en-US"/>
              </w:rPr>
              <w:t xml:space="preserve">. </w:t>
            </w:r>
          </w:p>
          <w:p w14:paraId="50DFD82E" w14:textId="77777777" w:rsidR="002047A6" w:rsidRPr="00222CB8" w:rsidRDefault="002047A6" w:rsidP="00A70719">
            <w:pPr>
              <w:tabs>
                <w:tab w:val="left" w:pos="9356"/>
              </w:tabs>
              <w:suppressAutoHyphens/>
              <w:spacing w:after="0"/>
              <w:jc w:val="both"/>
              <w:rPr>
                <w:rFonts w:eastAsia="Times New Roman"/>
                <w:szCs w:val="20"/>
                <w:lang w:eastAsia="en-US"/>
              </w:rPr>
            </w:pPr>
          </w:p>
          <w:p w14:paraId="57C9F2DA" w14:textId="13A5FA14" w:rsidR="00A70719" w:rsidRPr="00222CB8" w:rsidRDefault="002047A6" w:rsidP="00A70719">
            <w:pPr>
              <w:tabs>
                <w:tab w:val="left" w:pos="9356"/>
              </w:tabs>
              <w:suppressAutoHyphens/>
              <w:spacing w:after="0"/>
              <w:jc w:val="both"/>
              <w:rPr>
                <w:rFonts w:eastAsia="Times New Roman"/>
                <w:kern w:val="1"/>
                <w:szCs w:val="20"/>
                <w:lang w:eastAsia="en-US"/>
              </w:rPr>
            </w:pPr>
            <w:r w:rsidRPr="00222CB8">
              <w:rPr>
                <w:rFonts w:eastAsia="Times New Roman"/>
                <w:szCs w:val="20"/>
                <w:lang w:eastAsia="en-US"/>
              </w:rPr>
              <w:t>Por tanto, la alternativa cero de no aprobar se ha de descartar por no cumplir los objetivos.</w:t>
            </w:r>
          </w:p>
        </w:tc>
      </w:tr>
      <w:tr w:rsidR="00A70719" w:rsidRPr="00A70719" w14:paraId="72BA0C3A" w14:textId="77777777" w:rsidTr="00197E8F">
        <w:tblPrEx>
          <w:tblCellMar>
            <w:left w:w="20" w:type="dxa"/>
          </w:tblCellMar>
        </w:tblPrEx>
        <w:trPr>
          <w:cantSplit/>
          <w:trHeight w:val="442"/>
        </w:trPr>
        <w:tc>
          <w:tcPr>
            <w:tcW w:w="10065" w:type="dxa"/>
            <w:gridSpan w:val="5"/>
            <w:tcBorders>
              <w:top w:val="single" w:sz="16" w:space="0" w:color="000000" w:themeColor="text1"/>
              <w:left w:val="single" w:sz="32" w:space="0" w:color="000000" w:themeColor="text1"/>
              <w:bottom w:val="single" w:sz="16" w:space="0" w:color="000000" w:themeColor="text1"/>
              <w:right w:val="single" w:sz="32" w:space="0" w:color="000000" w:themeColor="text1"/>
            </w:tcBorders>
            <w:shd w:val="clear" w:color="auto" w:fill="EFE100"/>
          </w:tcPr>
          <w:p w14:paraId="533D5386"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jc w:val="center"/>
              <w:rPr>
                <w:rFonts w:eastAsia="ヒラギノ角ゴ Pro W3"/>
                <w:kern w:val="1"/>
                <w:lang w:eastAsia="en-US"/>
              </w:rPr>
            </w:pPr>
            <w:r w:rsidRPr="00222CB8">
              <w:rPr>
                <w:rFonts w:eastAsia="ヒラギノ角ゴ Pro W3"/>
                <w:b/>
                <w:kern w:val="1"/>
                <w:lang w:eastAsia="en-US"/>
              </w:rPr>
              <w:t>CONTENIDO Y ANÁLISIS JURÍDICO</w:t>
            </w:r>
          </w:p>
        </w:tc>
      </w:tr>
      <w:tr w:rsidR="00A70719" w:rsidRPr="00A70719" w14:paraId="544D75CC" w14:textId="77777777" w:rsidTr="00197E8F">
        <w:tblPrEx>
          <w:tblCellMar>
            <w:left w:w="60" w:type="dxa"/>
          </w:tblCellMar>
        </w:tblPrEx>
        <w:trPr>
          <w:cantSplit/>
          <w:trHeight w:val="568"/>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tcPr>
          <w:p w14:paraId="6673F106"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r w:rsidRPr="00222CB8">
              <w:rPr>
                <w:rFonts w:eastAsia="ヒラギノ角ゴ Pro W3"/>
                <w:b/>
                <w:kern w:val="1"/>
                <w:lang w:eastAsia="en-US"/>
              </w:rPr>
              <w:t>Tipo de norma</w:t>
            </w:r>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tcPr>
          <w:p w14:paraId="08F25903"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szCs w:val="20"/>
                <w:lang w:eastAsia="en-US"/>
              </w:rPr>
            </w:pPr>
            <w:r w:rsidRPr="00222CB8">
              <w:rPr>
                <w:rFonts w:eastAsia="ヒラギノ角ゴ Pro W3"/>
                <w:kern w:val="1"/>
                <w:szCs w:val="20"/>
                <w:lang w:eastAsia="en-US"/>
              </w:rPr>
              <w:t>Real decreto</w:t>
            </w:r>
          </w:p>
        </w:tc>
      </w:tr>
      <w:tr w:rsidR="00A70719" w:rsidRPr="00A70719" w14:paraId="2AC8CDD2" w14:textId="77777777" w:rsidTr="00197E8F">
        <w:tblPrEx>
          <w:tblCellMar>
            <w:left w:w="60" w:type="dxa"/>
          </w:tblCellMar>
        </w:tblPrEx>
        <w:trPr>
          <w:cantSplit/>
          <w:trHeight w:val="835"/>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tcPr>
          <w:p w14:paraId="3AACE54E"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bCs/>
                <w:kern w:val="1"/>
                <w:szCs w:val="20"/>
                <w:lang w:eastAsia="en-US"/>
              </w:rPr>
            </w:pPr>
            <w:r w:rsidRPr="00222CB8">
              <w:rPr>
                <w:rFonts w:eastAsia="ヒラギノ角ゴ Pro W3"/>
                <w:b/>
                <w:bCs/>
                <w:kern w:val="1"/>
                <w:szCs w:val="20"/>
                <w:lang w:eastAsia="en-US"/>
              </w:rPr>
              <w:t xml:space="preserve">Estructura de la norma </w:t>
            </w:r>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vAlign w:val="center"/>
          </w:tcPr>
          <w:p w14:paraId="15E5C525" w14:textId="5128AD98" w:rsidR="00A70719" w:rsidRPr="00222CB8" w:rsidRDefault="00A70719" w:rsidP="00A70719">
            <w:pPr>
              <w:tabs>
                <w:tab w:val="left" w:pos="709"/>
                <w:tab w:val="left" w:pos="1417"/>
                <w:tab w:val="left" w:pos="2126"/>
                <w:tab w:val="left" w:pos="2835"/>
                <w:tab w:val="left" w:pos="3543"/>
                <w:tab w:val="left" w:pos="4252"/>
                <w:tab w:val="left" w:pos="4961"/>
                <w:tab w:val="left" w:pos="5376"/>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jc w:val="both"/>
              <w:rPr>
                <w:rFonts w:eastAsia="ヒラギノ角ゴ Pro W3"/>
                <w:kern w:val="1"/>
                <w:szCs w:val="20"/>
                <w:lang w:eastAsia="en-US"/>
              </w:rPr>
            </w:pPr>
            <w:r w:rsidRPr="00222CB8">
              <w:rPr>
                <w:rFonts w:eastAsia="Calibri"/>
                <w:szCs w:val="20"/>
                <w:lang w:eastAsia="en-US"/>
              </w:rPr>
              <w:t xml:space="preserve">El real decreto consta de </w:t>
            </w:r>
            <w:r w:rsidR="004A61B9" w:rsidRPr="00222CB8">
              <w:rPr>
                <w:rFonts w:eastAsia="Calibri"/>
                <w:szCs w:val="20"/>
                <w:lang w:eastAsia="en-US"/>
              </w:rPr>
              <w:t xml:space="preserve">trece </w:t>
            </w:r>
            <w:r w:rsidRPr="00222CB8">
              <w:rPr>
                <w:rFonts w:eastAsia="Calibri"/>
                <w:szCs w:val="20"/>
                <w:lang w:eastAsia="en-US"/>
              </w:rPr>
              <w:t xml:space="preserve">artículos distribuidos en </w:t>
            </w:r>
            <w:r w:rsidR="004A61B9" w:rsidRPr="00222CB8">
              <w:rPr>
                <w:rFonts w:eastAsia="Calibri"/>
                <w:szCs w:val="20"/>
                <w:lang w:eastAsia="en-US"/>
              </w:rPr>
              <w:t xml:space="preserve">cuatro </w:t>
            </w:r>
            <w:r w:rsidRPr="00222CB8">
              <w:rPr>
                <w:rFonts w:eastAsia="Calibri"/>
                <w:szCs w:val="20"/>
                <w:lang w:eastAsia="en-US"/>
              </w:rPr>
              <w:t>capítulos, tres disposiciones adicionales y tres disposiciones finales.</w:t>
            </w:r>
          </w:p>
        </w:tc>
      </w:tr>
      <w:tr w:rsidR="00C53FAF" w:rsidRPr="00A70719" w14:paraId="20E78604" w14:textId="77777777" w:rsidTr="00197E8F">
        <w:tblPrEx>
          <w:tblCellMar>
            <w:left w:w="60" w:type="dxa"/>
          </w:tblCellMar>
        </w:tblPrEx>
        <w:trPr>
          <w:cantSplit/>
          <w:trHeight w:val="2190"/>
        </w:trPr>
        <w:tc>
          <w:tcPr>
            <w:tcW w:w="2634" w:type="dxa"/>
            <w:tcBorders>
              <w:top w:val="single" w:sz="16" w:space="0" w:color="000000" w:themeColor="text1"/>
              <w:left w:val="single" w:sz="32" w:space="0" w:color="000000" w:themeColor="text1"/>
              <w:bottom w:val="single" w:sz="4" w:space="0" w:color="auto"/>
              <w:right w:val="single" w:sz="16" w:space="0" w:color="000000" w:themeColor="text1"/>
            </w:tcBorders>
            <w:shd w:val="clear" w:color="auto" w:fill="E3DFA6"/>
          </w:tcPr>
          <w:p w14:paraId="5986A463" w14:textId="6F07AF6C" w:rsidR="00C53FAF" w:rsidRPr="00222CB8" w:rsidRDefault="00C53FAF"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kern w:val="1"/>
                <w:lang w:val="en-US" w:eastAsia="en-US"/>
              </w:rPr>
            </w:pPr>
            <w:proofErr w:type="spellStart"/>
            <w:r w:rsidRPr="00222CB8">
              <w:rPr>
                <w:rFonts w:eastAsia="ヒラギノ角ゴ Pro W3"/>
                <w:b/>
                <w:kern w:val="1"/>
                <w:lang w:val="en-US" w:eastAsia="en-US"/>
              </w:rPr>
              <w:t>Tramitación</w:t>
            </w:r>
            <w:proofErr w:type="spellEnd"/>
            <w:r w:rsidRPr="00222CB8">
              <w:rPr>
                <w:rFonts w:eastAsia="ヒラギノ角ゴ Pro W3"/>
                <w:b/>
                <w:kern w:val="1"/>
                <w:lang w:val="en-US" w:eastAsia="en-US"/>
              </w:rPr>
              <w:t xml:space="preserve"> de </w:t>
            </w:r>
            <w:proofErr w:type="spellStart"/>
            <w:r w:rsidRPr="00222CB8">
              <w:rPr>
                <w:rFonts w:eastAsia="ヒラギノ角ゴ Pro W3"/>
                <w:b/>
                <w:kern w:val="1"/>
                <w:lang w:val="en-US" w:eastAsia="en-US"/>
              </w:rPr>
              <w:t>urgencia</w:t>
            </w:r>
            <w:proofErr w:type="spellEnd"/>
          </w:p>
        </w:tc>
        <w:tc>
          <w:tcPr>
            <w:tcW w:w="7431" w:type="dxa"/>
            <w:gridSpan w:val="4"/>
            <w:tcBorders>
              <w:top w:val="single" w:sz="16" w:space="0" w:color="000000" w:themeColor="text1"/>
              <w:left w:val="single" w:sz="16" w:space="0" w:color="000000" w:themeColor="text1"/>
              <w:bottom w:val="single" w:sz="4" w:space="0" w:color="auto"/>
              <w:right w:val="single" w:sz="32" w:space="0" w:color="000000" w:themeColor="text1"/>
            </w:tcBorders>
            <w:shd w:val="clear" w:color="auto" w:fill="EEFFEB"/>
          </w:tcPr>
          <w:p w14:paraId="1D5D5736" w14:textId="189D22A9" w:rsidR="00C53FAF" w:rsidRPr="00222CB8" w:rsidRDefault="00C53FAF" w:rsidP="00A70719">
            <w:pPr>
              <w:spacing w:after="0"/>
              <w:jc w:val="both"/>
              <w:rPr>
                <w:rFonts w:eastAsia="Times New Roman" w:cs="Times New Roman"/>
                <w:szCs w:val="20"/>
              </w:rPr>
            </w:pPr>
            <w:r w:rsidRPr="00222CB8">
              <w:rPr>
                <w:rFonts w:eastAsia="Times New Roman" w:cs="Times New Roman"/>
                <w:szCs w:val="20"/>
              </w:rPr>
              <w:t xml:space="preserve">El Consejo de </w:t>
            </w:r>
            <w:proofErr w:type="gramStart"/>
            <w:r w:rsidRPr="00222CB8">
              <w:rPr>
                <w:rFonts w:eastAsia="Times New Roman" w:cs="Times New Roman"/>
                <w:szCs w:val="20"/>
              </w:rPr>
              <w:t>Ministros</w:t>
            </w:r>
            <w:proofErr w:type="gramEnd"/>
            <w:r w:rsidRPr="00222CB8">
              <w:rPr>
                <w:rFonts w:eastAsia="Times New Roman" w:cs="Times New Roman"/>
                <w:szCs w:val="20"/>
              </w:rPr>
              <w:t xml:space="preserve"> ha aprobado en su reunión de 29 de septiembre el Acuerdo por el que se autoriza la tramitación administrativa urgente del proyecto de real decreto prevista en el artículo 27.1a) de la Ley 50/1997, de 27 de noviembre, del Gobierno </w:t>
            </w:r>
            <w:r w:rsidR="00B46BC2" w:rsidRPr="00222CB8">
              <w:rPr>
                <w:rFonts w:eastAsia="Times New Roman" w:cs="Times New Roman"/>
                <w:szCs w:val="20"/>
              </w:rPr>
              <w:t>(LG, en adelante).</w:t>
            </w:r>
          </w:p>
        </w:tc>
      </w:tr>
      <w:tr w:rsidR="00A70719" w:rsidRPr="00A70719" w14:paraId="1B38EC18" w14:textId="77777777" w:rsidTr="00197E8F">
        <w:tblPrEx>
          <w:tblCellMar>
            <w:left w:w="60" w:type="dxa"/>
          </w:tblCellMar>
        </w:tblPrEx>
        <w:trPr>
          <w:cantSplit/>
          <w:trHeight w:val="2190"/>
        </w:trPr>
        <w:tc>
          <w:tcPr>
            <w:tcW w:w="2634" w:type="dxa"/>
            <w:tcBorders>
              <w:top w:val="single" w:sz="16" w:space="0" w:color="000000" w:themeColor="text1"/>
              <w:left w:val="single" w:sz="32" w:space="0" w:color="000000" w:themeColor="text1"/>
              <w:bottom w:val="single" w:sz="4" w:space="0" w:color="auto"/>
              <w:right w:val="single" w:sz="16" w:space="0" w:color="000000" w:themeColor="text1"/>
            </w:tcBorders>
            <w:shd w:val="clear" w:color="auto" w:fill="E3DFA6"/>
          </w:tcPr>
          <w:p w14:paraId="748CBFA9"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bookmarkStart w:id="0" w:name="_Hlk158890134"/>
            <w:r w:rsidRPr="00222CB8">
              <w:rPr>
                <w:rFonts w:eastAsia="ヒラギノ角ゴ Pro W3"/>
                <w:b/>
                <w:kern w:val="1"/>
                <w:lang w:val="en-US" w:eastAsia="en-US"/>
              </w:rPr>
              <w:t xml:space="preserve">Consulta </w:t>
            </w:r>
            <w:proofErr w:type="spellStart"/>
            <w:r w:rsidRPr="00222CB8">
              <w:rPr>
                <w:rFonts w:eastAsia="ヒラギノ角ゴ Pro W3"/>
                <w:b/>
                <w:kern w:val="1"/>
                <w:lang w:val="en-US" w:eastAsia="en-US"/>
              </w:rPr>
              <w:t>pública</w:t>
            </w:r>
            <w:proofErr w:type="spellEnd"/>
            <w:r w:rsidRPr="00222CB8">
              <w:rPr>
                <w:rFonts w:eastAsia="ヒラギノ角ゴ Pro W3"/>
                <w:b/>
                <w:kern w:val="1"/>
                <w:lang w:val="en-US" w:eastAsia="en-US"/>
              </w:rPr>
              <w:t xml:space="preserve"> previa</w:t>
            </w:r>
          </w:p>
        </w:tc>
        <w:tc>
          <w:tcPr>
            <w:tcW w:w="7431" w:type="dxa"/>
            <w:gridSpan w:val="4"/>
            <w:tcBorders>
              <w:top w:val="single" w:sz="16" w:space="0" w:color="000000" w:themeColor="text1"/>
              <w:left w:val="single" w:sz="16" w:space="0" w:color="000000" w:themeColor="text1"/>
              <w:bottom w:val="single" w:sz="4" w:space="0" w:color="auto"/>
              <w:right w:val="single" w:sz="32" w:space="0" w:color="000000" w:themeColor="text1"/>
            </w:tcBorders>
            <w:shd w:val="clear" w:color="auto" w:fill="EEFFEB"/>
          </w:tcPr>
          <w:p w14:paraId="56A1B672" w14:textId="7B5A05F6" w:rsidR="00A70719" w:rsidRPr="00222CB8" w:rsidRDefault="00C53FAF" w:rsidP="00A70719">
            <w:pPr>
              <w:spacing w:after="0"/>
              <w:jc w:val="both"/>
              <w:rPr>
                <w:rFonts w:eastAsia="Times New Roman" w:cs="Times New Roman"/>
                <w:szCs w:val="20"/>
              </w:rPr>
            </w:pPr>
            <w:r w:rsidRPr="00222CB8">
              <w:rPr>
                <w:rFonts w:eastAsia="Times New Roman" w:cs="Times New Roman"/>
                <w:szCs w:val="20"/>
              </w:rPr>
              <w:t>Al tramitarse por urgencia el trámite n</w:t>
            </w:r>
            <w:r w:rsidR="00A70719" w:rsidRPr="00222CB8">
              <w:rPr>
                <w:rFonts w:eastAsia="Times New Roman" w:cs="Times New Roman"/>
                <w:szCs w:val="20"/>
              </w:rPr>
              <w:t>o procede</w:t>
            </w:r>
            <w:r w:rsidRPr="00222CB8">
              <w:rPr>
                <w:rFonts w:eastAsia="Times New Roman" w:cs="Times New Roman"/>
                <w:szCs w:val="20"/>
              </w:rPr>
              <w:t xml:space="preserve"> (art 27.2.b) LG)</w:t>
            </w:r>
            <w:r w:rsidR="00A70719" w:rsidRPr="00222CB8">
              <w:rPr>
                <w:rFonts w:eastAsia="Times New Roman" w:cs="Times New Roman"/>
                <w:szCs w:val="20"/>
              </w:rPr>
              <w:t xml:space="preserve">. </w:t>
            </w:r>
          </w:p>
          <w:p w14:paraId="14E11D97" w14:textId="77777777" w:rsidR="00A70719" w:rsidRPr="00222CB8" w:rsidRDefault="00A70719" w:rsidP="00A70719">
            <w:pPr>
              <w:spacing w:after="0"/>
              <w:jc w:val="both"/>
              <w:rPr>
                <w:rFonts w:eastAsia="Calibri"/>
                <w:szCs w:val="20"/>
                <w:lang w:eastAsia="en-US"/>
              </w:rPr>
            </w:pPr>
          </w:p>
        </w:tc>
      </w:tr>
      <w:bookmarkEnd w:id="0"/>
      <w:tr w:rsidR="00A70719" w:rsidRPr="00A70719" w14:paraId="3DFCAE5B" w14:textId="77777777" w:rsidTr="00197E8F">
        <w:tblPrEx>
          <w:tblCellMar>
            <w:left w:w="60" w:type="dxa"/>
          </w:tblCellMar>
        </w:tblPrEx>
        <w:trPr>
          <w:cantSplit/>
          <w:trHeight w:val="1530"/>
        </w:trPr>
        <w:tc>
          <w:tcPr>
            <w:tcW w:w="2634" w:type="dxa"/>
            <w:tcBorders>
              <w:top w:val="single" w:sz="16" w:space="0" w:color="000000" w:themeColor="text1"/>
              <w:left w:val="single" w:sz="32" w:space="0" w:color="000000" w:themeColor="text1"/>
              <w:bottom w:val="single" w:sz="4" w:space="0" w:color="auto"/>
              <w:right w:val="single" w:sz="16" w:space="0" w:color="000000" w:themeColor="text1"/>
            </w:tcBorders>
            <w:shd w:val="clear" w:color="auto" w:fill="E3DFA6"/>
            <w:vAlign w:val="center"/>
          </w:tcPr>
          <w:p w14:paraId="71C61E12"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r w:rsidRPr="00222CB8">
              <w:rPr>
                <w:rFonts w:eastAsia="ヒラギノ角ゴ Pro W3"/>
                <w:b/>
                <w:bCs/>
                <w:kern w:val="1"/>
                <w:szCs w:val="20"/>
                <w:lang w:val="en-US" w:eastAsia="en-US"/>
              </w:rPr>
              <w:lastRenderedPageBreak/>
              <w:t xml:space="preserve">Audiencia </w:t>
            </w:r>
            <w:proofErr w:type="spellStart"/>
            <w:r w:rsidRPr="00222CB8">
              <w:rPr>
                <w:rFonts w:eastAsia="ヒラギノ角ゴ Pro W3"/>
                <w:b/>
                <w:bCs/>
                <w:kern w:val="1"/>
                <w:szCs w:val="20"/>
                <w:lang w:val="en-US" w:eastAsia="en-US"/>
              </w:rPr>
              <w:t>pública</w:t>
            </w:r>
            <w:proofErr w:type="spellEnd"/>
          </w:p>
        </w:tc>
        <w:tc>
          <w:tcPr>
            <w:tcW w:w="7431" w:type="dxa"/>
            <w:gridSpan w:val="4"/>
            <w:tcBorders>
              <w:top w:val="single" w:sz="16" w:space="0" w:color="000000" w:themeColor="text1"/>
              <w:left w:val="single" w:sz="16" w:space="0" w:color="000000" w:themeColor="text1"/>
              <w:bottom w:val="single" w:sz="4" w:space="0" w:color="auto"/>
              <w:right w:val="single" w:sz="32" w:space="0" w:color="000000" w:themeColor="text1"/>
            </w:tcBorders>
            <w:shd w:val="clear" w:color="auto" w:fill="EEFFEB"/>
          </w:tcPr>
          <w:p w14:paraId="069A01BB" w14:textId="04907844" w:rsidR="00CE287A" w:rsidRPr="00222CB8" w:rsidRDefault="00CE287A" w:rsidP="00A70719">
            <w:pPr>
              <w:spacing w:after="0"/>
              <w:jc w:val="both"/>
              <w:rPr>
                <w:rFonts w:eastAsia="Times New Roman" w:cs="Times New Roman"/>
                <w:strike/>
                <w:szCs w:val="20"/>
              </w:rPr>
            </w:pPr>
            <w:r w:rsidRPr="00222CB8">
              <w:rPr>
                <w:rFonts w:eastAsia="Times New Roman" w:cs="Times New Roman"/>
                <w:szCs w:val="20"/>
              </w:rPr>
              <w:t>Se somete al trámite de audiencia pública</w:t>
            </w:r>
            <w:r w:rsidR="00C53FAF" w:rsidRPr="00222CB8">
              <w:rPr>
                <w:rFonts w:eastAsia="Times New Roman" w:cs="Times New Roman"/>
                <w:szCs w:val="20"/>
              </w:rPr>
              <w:t xml:space="preserve"> (art 26.6 LG)</w:t>
            </w:r>
            <w:r w:rsidR="00513025" w:rsidRPr="00222CB8">
              <w:rPr>
                <w:rFonts w:eastAsia="Times New Roman" w:cs="Times New Roman"/>
                <w:szCs w:val="20"/>
              </w:rPr>
              <w:t>.</w:t>
            </w:r>
          </w:p>
          <w:p w14:paraId="587C9212" w14:textId="280C554D" w:rsidR="00CE287A" w:rsidRPr="00222CB8" w:rsidRDefault="00513025" w:rsidP="00A70719">
            <w:pPr>
              <w:spacing w:after="0"/>
              <w:jc w:val="both"/>
              <w:rPr>
                <w:rFonts w:eastAsia="Times New Roman" w:cs="Times New Roman"/>
                <w:szCs w:val="20"/>
              </w:rPr>
            </w:pPr>
            <w:r w:rsidRPr="00222CB8">
              <w:rPr>
                <w:rFonts w:eastAsia="Times New Roman" w:cs="Times New Roman"/>
                <w:szCs w:val="20"/>
              </w:rPr>
              <w:t>Asimismo, d</w:t>
            </w:r>
            <w:r w:rsidR="00C53FAF" w:rsidRPr="00222CB8">
              <w:rPr>
                <w:rFonts w:eastAsia="Times New Roman" w:cs="Times New Roman"/>
                <w:szCs w:val="20"/>
              </w:rPr>
              <w:t>e acuerdo con el segundo inciso del primer párrafo del artículo 26.6 LG, s</w:t>
            </w:r>
            <w:r w:rsidR="00CE287A" w:rsidRPr="00222CB8">
              <w:rPr>
                <w:rFonts w:eastAsia="Times New Roman" w:cs="Times New Roman"/>
                <w:szCs w:val="20"/>
              </w:rPr>
              <w:t>e realizará una audiencia específica a la Entidad Nacional de Acreditación (ENAC), designada en el artículo 5 del proyecto como Organismo Nacional de Acreditación de los organismos de evaluación de la conformidad de la cartera.</w:t>
            </w:r>
            <w:r w:rsidR="00C53FAF" w:rsidRPr="00222CB8">
              <w:rPr>
                <w:rFonts w:eastAsia="Times New Roman" w:cs="Times New Roman"/>
                <w:szCs w:val="20"/>
              </w:rPr>
              <w:t xml:space="preserve"> </w:t>
            </w:r>
          </w:p>
        </w:tc>
      </w:tr>
      <w:tr w:rsidR="00A70719" w:rsidRPr="00A70719" w14:paraId="0C738251" w14:textId="77777777" w:rsidTr="00197E8F">
        <w:tblPrEx>
          <w:tblCellMar>
            <w:left w:w="60" w:type="dxa"/>
          </w:tblCellMar>
        </w:tblPrEx>
        <w:trPr>
          <w:cantSplit/>
          <w:trHeight w:val="1200"/>
        </w:trPr>
        <w:tc>
          <w:tcPr>
            <w:tcW w:w="2634" w:type="dxa"/>
            <w:tcBorders>
              <w:top w:val="single" w:sz="4" w:space="0" w:color="auto"/>
              <w:left w:val="single" w:sz="32" w:space="0" w:color="000000" w:themeColor="text1"/>
              <w:bottom w:val="single" w:sz="16" w:space="0" w:color="000000" w:themeColor="text1"/>
              <w:right w:val="single" w:sz="16" w:space="0" w:color="000000" w:themeColor="text1"/>
            </w:tcBorders>
            <w:shd w:val="clear" w:color="auto" w:fill="E3DFA6"/>
            <w:vAlign w:val="center"/>
          </w:tcPr>
          <w:p w14:paraId="21B9AF87"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bCs/>
                <w:kern w:val="1"/>
                <w:szCs w:val="20"/>
                <w:lang w:val="en-US" w:eastAsia="en-US"/>
              </w:rPr>
            </w:pPr>
            <w:proofErr w:type="spellStart"/>
            <w:r w:rsidRPr="00222CB8">
              <w:rPr>
                <w:rFonts w:eastAsia="ヒラギノ角ゴ Pro W3"/>
                <w:b/>
                <w:bCs/>
                <w:kern w:val="1"/>
                <w:szCs w:val="20"/>
                <w:lang w:val="en-US" w:eastAsia="en-US"/>
              </w:rPr>
              <w:t>Informes</w:t>
            </w:r>
            <w:proofErr w:type="spellEnd"/>
          </w:p>
        </w:tc>
        <w:tc>
          <w:tcPr>
            <w:tcW w:w="7431" w:type="dxa"/>
            <w:gridSpan w:val="4"/>
            <w:tcBorders>
              <w:top w:val="single" w:sz="4" w:space="0" w:color="auto"/>
              <w:left w:val="single" w:sz="16" w:space="0" w:color="000000" w:themeColor="text1"/>
              <w:bottom w:val="single" w:sz="16" w:space="0" w:color="000000" w:themeColor="text1"/>
              <w:right w:val="single" w:sz="32" w:space="0" w:color="000000" w:themeColor="text1"/>
            </w:tcBorders>
            <w:shd w:val="clear" w:color="auto" w:fill="EEFFEB"/>
          </w:tcPr>
          <w:p w14:paraId="6B8F990B" w14:textId="77777777" w:rsidR="00A70719" w:rsidRPr="00222CB8" w:rsidRDefault="00A70719" w:rsidP="00A70719">
            <w:pPr>
              <w:spacing w:after="0"/>
              <w:jc w:val="both"/>
              <w:rPr>
                <w:rFonts w:eastAsia="Times New Roman" w:cs="Times New Roman"/>
                <w:b/>
                <w:bCs/>
                <w:szCs w:val="20"/>
              </w:rPr>
            </w:pPr>
            <w:r w:rsidRPr="00222CB8">
              <w:rPr>
                <w:rFonts w:eastAsia="Times New Roman" w:cs="Times New Roman"/>
                <w:b/>
                <w:bCs/>
                <w:szCs w:val="20"/>
              </w:rPr>
              <w:t>Pendientes:</w:t>
            </w:r>
          </w:p>
          <w:p w14:paraId="7EEF3460" w14:textId="77777777" w:rsidR="00A70719" w:rsidRPr="00222CB8" w:rsidRDefault="00A70719" w:rsidP="00A70719">
            <w:pPr>
              <w:spacing w:after="0"/>
              <w:jc w:val="both"/>
              <w:rPr>
                <w:rFonts w:eastAsia="Times New Roman" w:cs="Times New Roman"/>
                <w:szCs w:val="20"/>
              </w:rPr>
            </w:pPr>
          </w:p>
          <w:p w14:paraId="39B950F8" w14:textId="77777777" w:rsidR="00A70719" w:rsidRPr="00222CB8" w:rsidRDefault="00A70719" w:rsidP="00A70719">
            <w:pPr>
              <w:numPr>
                <w:ilvl w:val="0"/>
                <w:numId w:val="46"/>
              </w:numPr>
              <w:spacing w:after="0"/>
              <w:jc w:val="both"/>
              <w:rPr>
                <w:rFonts w:eastAsia="Times New Roman" w:cs="Times New Roman"/>
                <w:szCs w:val="20"/>
              </w:rPr>
            </w:pPr>
            <w:r w:rsidRPr="00222CB8">
              <w:rPr>
                <w:rFonts w:eastAsia="Times New Roman" w:cs="Times New Roman"/>
                <w:szCs w:val="20"/>
              </w:rPr>
              <w:t>Informe 26.</w:t>
            </w:r>
            <w:proofErr w:type="gramStart"/>
            <w:r w:rsidRPr="00222CB8">
              <w:rPr>
                <w:rFonts w:eastAsia="Times New Roman" w:cs="Times New Roman"/>
                <w:szCs w:val="20"/>
              </w:rPr>
              <w:t>5.1º</w:t>
            </w:r>
            <w:proofErr w:type="gramEnd"/>
            <w:r w:rsidRPr="00222CB8">
              <w:rPr>
                <w:rFonts w:eastAsia="Times New Roman" w:cs="Times New Roman"/>
                <w:szCs w:val="20"/>
              </w:rPr>
              <w:t xml:space="preserve"> LG de todos los ministerios.</w:t>
            </w:r>
          </w:p>
          <w:p w14:paraId="15640AF2" w14:textId="77777777" w:rsidR="00A70719" w:rsidRDefault="00A70719" w:rsidP="00A70719">
            <w:pPr>
              <w:numPr>
                <w:ilvl w:val="0"/>
                <w:numId w:val="46"/>
              </w:numPr>
              <w:spacing w:after="0"/>
              <w:jc w:val="both"/>
              <w:rPr>
                <w:rFonts w:eastAsia="Times New Roman" w:cs="Times New Roman"/>
                <w:szCs w:val="20"/>
              </w:rPr>
            </w:pPr>
            <w:r w:rsidRPr="00222CB8">
              <w:rPr>
                <w:rFonts w:eastAsia="Times New Roman" w:cs="Times New Roman"/>
                <w:szCs w:val="20"/>
              </w:rPr>
              <w:t>Informe de la AEPD (art. 5.3.b) del Estatuto de la Agencia Española de Protección de Datos, aprobado por el Real Decreto 389/2021, de 1 de junio.</w:t>
            </w:r>
          </w:p>
          <w:p w14:paraId="5816F79F" w14:textId="386807E9" w:rsidR="00743F03" w:rsidRPr="007B473C" w:rsidRDefault="00743F03" w:rsidP="00A70719">
            <w:pPr>
              <w:numPr>
                <w:ilvl w:val="0"/>
                <w:numId w:val="46"/>
              </w:numPr>
              <w:spacing w:after="0"/>
              <w:jc w:val="both"/>
              <w:rPr>
                <w:rFonts w:eastAsia="Times New Roman" w:cs="Times New Roman"/>
                <w:szCs w:val="20"/>
              </w:rPr>
            </w:pPr>
            <w:r w:rsidRPr="007B473C">
              <w:rPr>
                <w:rFonts w:eastAsia="Times New Roman" w:cs="Times New Roman"/>
                <w:szCs w:val="20"/>
              </w:rPr>
              <w:t>Informe de la Comisión Nacional de los Mercados y la Competencia (art 5.2 de la Ley 3/2013, de 4 de junio, de creación de la Comisión Nacional de los Mercados y la Competencia)</w:t>
            </w:r>
          </w:p>
          <w:p w14:paraId="5D6F03A5" w14:textId="77777777" w:rsidR="00A70719" w:rsidRPr="00222CB8" w:rsidRDefault="00A70719" w:rsidP="00A70719">
            <w:pPr>
              <w:numPr>
                <w:ilvl w:val="0"/>
                <w:numId w:val="46"/>
              </w:numPr>
              <w:spacing w:after="0"/>
              <w:jc w:val="both"/>
              <w:rPr>
                <w:rFonts w:eastAsia="Times New Roman" w:cs="Times New Roman"/>
                <w:szCs w:val="20"/>
              </w:rPr>
            </w:pPr>
            <w:r w:rsidRPr="00222CB8">
              <w:rPr>
                <w:rFonts w:eastAsia="Times New Roman" w:cs="Times New Roman"/>
                <w:szCs w:val="20"/>
              </w:rPr>
              <w:t>Informe de la Oficina de Coordinación y Calidad Normativa (art. 26.9 LG)</w:t>
            </w:r>
          </w:p>
          <w:p w14:paraId="06EBBEF1" w14:textId="77777777" w:rsidR="00A70719" w:rsidRDefault="00A70719" w:rsidP="00A70719">
            <w:pPr>
              <w:numPr>
                <w:ilvl w:val="0"/>
                <w:numId w:val="46"/>
              </w:numPr>
              <w:spacing w:after="0"/>
              <w:jc w:val="both"/>
              <w:rPr>
                <w:rFonts w:eastAsia="Times New Roman" w:cs="Times New Roman"/>
                <w:szCs w:val="20"/>
              </w:rPr>
            </w:pPr>
            <w:r w:rsidRPr="00222CB8">
              <w:rPr>
                <w:rFonts w:eastAsia="Times New Roman" w:cs="Times New Roman"/>
                <w:szCs w:val="20"/>
              </w:rPr>
              <w:t>Informe de la Secretaría General Técnica del Ministerio para la Transformación Digital y de la Función Pública (art. 26.</w:t>
            </w:r>
            <w:proofErr w:type="gramStart"/>
            <w:r w:rsidRPr="00222CB8">
              <w:rPr>
                <w:rFonts w:eastAsia="Times New Roman" w:cs="Times New Roman"/>
                <w:szCs w:val="20"/>
              </w:rPr>
              <w:t>5.4º</w:t>
            </w:r>
            <w:proofErr w:type="gramEnd"/>
            <w:r w:rsidRPr="00222CB8">
              <w:rPr>
                <w:rFonts w:eastAsia="Times New Roman" w:cs="Times New Roman"/>
                <w:szCs w:val="20"/>
              </w:rPr>
              <w:t xml:space="preserve"> LG). </w:t>
            </w:r>
          </w:p>
          <w:p w14:paraId="0C86E2B2" w14:textId="77777777" w:rsidR="00743F03" w:rsidRPr="00222CB8" w:rsidRDefault="00743F03" w:rsidP="00743F03">
            <w:pPr>
              <w:spacing w:after="0"/>
              <w:ind w:left="360"/>
              <w:jc w:val="both"/>
              <w:rPr>
                <w:rFonts w:eastAsia="Times New Roman" w:cs="Times New Roman"/>
                <w:szCs w:val="20"/>
              </w:rPr>
            </w:pPr>
          </w:p>
          <w:p w14:paraId="1D08C98B" w14:textId="77777777" w:rsidR="00A70719" w:rsidRPr="00222CB8" w:rsidRDefault="00A70719" w:rsidP="00A70719">
            <w:pPr>
              <w:spacing w:after="0"/>
              <w:jc w:val="both"/>
              <w:rPr>
                <w:rFonts w:eastAsia="Times New Roman" w:cs="Times New Roman"/>
                <w:szCs w:val="20"/>
              </w:rPr>
            </w:pPr>
          </w:p>
          <w:p w14:paraId="7528907E" w14:textId="7C3140E9" w:rsidR="00A70719" w:rsidRPr="00222CB8" w:rsidRDefault="00CE287A" w:rsidP="00A70719">
            <w:pPr>
              <w:spacing w:after="0"/>
              <w:jc w:val="both"/>
              <w:rPr>
                <w:rFonts w:eastAsia="Times New Roman" w:cs="Times New Roman"/>
                <w:szCs w:val="20"/>
              </w:rPr>
            </w:pPr>
            <w:r w:rsidRPr="00222CB8">
              <w:rPr>
                <w:rFonts w:eastAsia="Times New Roman" w:cs="Times New Roman"/>
                <w:szCs w:val="20"/>
              </w:rPr>
              <w:t>N</w:t>
            </w:r>
            <w:r w:rsidR="00A70719" w:rsidRPr="00222CB8">
              <w:rPr>
                <w:rFonts w:eastAsia="Times New Roman" w:cs="Times New Roman"/>
                <w:szCs w:val="20"/>
              </w:rPr>
              <w:t>o procede la evacuación del trámite de aprobación previa (26.</w:t>
            </w:r>
            <w:proofErr w:type="gramStart"/>
            <w:r w:rsidR="00A70719" w:rsidRPr="00222CB8">
              <w:rPr>
                <w:rFonts w:eastAsia="Times New Roman" w:cs="Times New Roman"/>
                <w:szCs w:val="20"/>
              </w:rPr>
              <w:t>5.5º</w:t>
            </w:r>
            <w:proofErr w:type="gramEnd"/>
            <w:r w:rsidR="00A70719" w:rsidRPr="00222CB8">
              <w:rPr>
                <w:rFonts w:eastAsia="Times New Roman" w:cs="Times New Roman"/>
                <w:szCs w:val="20"/>
              </w:rPr>
              <w:t xml:space="preserve"> LG) al entenderse implícita por ser el Ministerio para la Transformación Digital y de la Función Pública, competente para su evacuación, el departamento proponente del proyecto.</w:t>
            </w:r>
          </w:p>
          <w:p w14:paraId="303C180D" w14:textId="77777777" w:rsidR="00A70719" w:rsidRPr="00222CB8" w:rsidRDefault="00A70719" w:rsidP="00A70719">
            <w:pPr>
              <w:spacing w:after="0"/>
              <w:jc w:val="both"/>
              <w:rPr>
                <w:rFonts w:eastAsia="Times New Roman"/>
                <w:szCs w:val="20"/>
              </w:rPr>
            </w:pPr>
          </w:p>
        </w:tc>
      </w:tr>
      <w:tr w:rsidR="00A70719" w:rsidRPr="00A70719" w14:paraId="678B9732" w14:textId="77777777" w:rsidTr="00197E8F">
        <w:tblPrEx>
          <w:tblCellMar>
            <w:left w:w="60" w:type="dxa"/>
          </w:tblCellMar>
        </w:tblPrEx>
        <w:trPr>
          <w:cantSplit/>
          <w:trHeight w:val="1200"/>
        </w:trPr>
        <w:tc>
          <w:tcPr>
            <w:tcW w:w="2634" w:type="dxa"/>
            <w:tcBorders>
              <w:top w:val="single" w:sz="4" w:space="0" w:color="auto"/>
              <w:left w:val="single" w:sz="32" w:space="0" w:color="000000" w:themeColor="text1"/>
              <w:bottom w:val="single" w:sz="16" w:space="0" w:color="000000" w:themeColor="text1"/>
              <w:right w:val="single" w:sz="16" w:space="0" w:color="000000" w:themeColor="text1"/>
            </w:tcBorders>
            <w:shd w:val="clear" w:color="auto" w:fill="E3DFA6"/>
            <w:vAlign w:val="center"/>
          </w:tcPr>
          <w:p w14:paraId="465B1DDD" w14:textId="77777777" w:rsidR="00A70719" w:rsidRPr="00222CB8" w:rsidRDefault="00A70719" w:rsidP="00A70719">
            <w:pPr>
              <w:spacing w:after="0"/>
              <w:jc w:val="both"/>
              <w:rPr>
                <w:rFonts w:eastAsia="Times New Roman" w:cs="Times New Roman"/>
                <w:b/>
                <w:bCs/>
                <w:szCs w:val="20"/>
              </w:rPr>
            </w:pPr>
            <w:r w:rsidRPr="00222CB8">
              <w:rPr>
                <w:rFonts w:eastAsia="Times New Roman" w:cs="Times New Roman"/>
                <w:b/>
                <w:bCs/>
                <w:szCs w:val="20"/>
              </w:rPr>
              <w:t>Dictamen del Consejo de Estado</w:t>
            </w:r>
          </w:p>
          <w:p w14:paraId="30958938"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bCs/>
                <w:kern w:val="1"/>
                <w:szCs w:val="20"/>
                <w:lang w:val="en-US" w:eastAsia="en-US"/>
              </w:rPr>
            </w:pPr>
          </w:p>
        </w:tc>
        <w:tc>
          <w:tcPr>
            <w:tcW w:w="7431" w:type="dxa"/>
            <w:gridSpan w:val="4"/>
            <w:tcBorders>
              <w:top w:val="single" w:sz="4" w:space="0" w:color="auto"/>
              <w:left w:val="single" w:sz="16" w:space="0" w:color="000000" w:themeColor="text1"/>
              <w:bottom w:val="single" w:sz="16" w:space="0" w:color="000000" w:themeColor="text1"/>
              <w:right w:val="single" w:sz="32" w:space="0" w:color="000000" w:themeColor="text1"/>
            </w:tcBorders>
            <w:shd w:val="clear" w:color="auto" w:fill="EEFFEB"/>
          </w:tcPr>
          <w:p w14:paraId="73BDEC54" w14:textId="089437F7" w:rsidR="00A70719" w:rsidRPr="00222CB8" w:rsidRDefault="00A70719" w:rsidP="00A70719">
            <w:pPr>
              <w:spacing w:after="0"/>
              <w:jc w:val="both"/>
              <w:rPr>
                <w:rFonts w:eastAsia="Times New Roman" w:cs="Times New Roman"/>
                <w:szCs w:val="20"/>
              </w:rPr>
            </w:pPr>
            <w:r w:rsidRPr="00222CB8">
              <w:rPr>
                <w:rFonts w:eastAsia="Times New Roman" w:cs="Times New Roman"/>
                <w:szCs w:val="20"/>
              </w:rPr>
              <w:t>Al tratarse de una disposición reglamentaria que se dicta en ejecución, cumplimiento o desarrollo de tratados, convenios o acuerdos internacionales y del derecho comunitario europeo, procede la evacuación del dictamen de la Comisión Permanente del Consejo de Estado, de acuerdo con el artículo 22.2. de la Ley Orgánica 3/1980, de 22 de abril, del Consejo de Estado y el artículo 26.</w:t>
            </w:r>
            <w:proofErr w:type="gramStart"/>
            <w:r w:rsidRPr="00222CB8">
              <w:rPr>
                <w:rFonts w:eastAsia="Times New Roman" w:cs="Times New Roman"/>
                <w:szCs w:val="20"/>
              </w:rPr>
              <w:t>7.</w:t>
            </w:r>
            <w:r w:rsidR="00537DF1" w:rsidRPr="00222CB8">
              <w:rPr>
                <w:rFonts w:eastAsia="Times New Roman" w:cs="Times New Roman"/>
                <w:szCs w:val="20"/>
              </w:rPr>
              <w:t>LG</w:t>
            </w:r>
            <w:proofErr w:type="gramEnd"/>
            <w:r w:rsidRPr="00222CB8">
              <w:rPr>
                <w:rFonts w:eastAsia="Times New Roman" w:cs="Times New Roman"/>
                <w:szCs w:val="20"/>
              </w:rPr>
              <w:t xml:space="preserve"> </w:t>
            </w:r>
          </w:p>
          <w:p w14:paraId="58203B30" w14:textId="77777777" w:rsidR="00A70719" w:rsidRPr="00222CB8" w:rsidRDefault="00A70719" w:rsidP="00A70719">
            <w:pPr>
              <w:spacing w:after="0"/>
              <w:jc w:val="both"/>
              <w:rPr>
                <w:rFonts w:eastAsia="Times New Roman" w:cs="Times New Roman"/>
                <w:b/>
                <w:bCs/>
                <w:szCs w:val="20"/>
              </w:rPr>
            </w:pPr>
          </w:p>
        </w:tc>
      </w:tr>
      <w:tr w:rsidR="00A70719" w:rsidRPr="00A70719" w14:paraId="7FC2A36A" w14:textId="77777777" w:rsidTr="00197E8F">
        <w:tblPrEx>
          <w:tblCellMar>
            <w:left w:w="20" w:type="dxa"/>
          </w:tblCellMar>
        </w:tblPrEx>
        <w:trPr>
          <w:cantSplit/>
          <w:trHeight w:val="459"/>
        </w:trPr>
        <w:tc>
          <w:tcPr>
            <w:tcW w:w="10065" w:type="dxa"/>
            <w:gridSpan w:val="5"/>
            <w:tcBorders>
              <w:top w:val="single" w:sz="16" w:space="0" w:color="000000" w:themeColor="text1"/>
              <w:left w:val="single" w:sz="32" w:space="0" w:color="000000" w:themeColor="text1"/>
              <w:bottom w:val="single" w:sz="16" w:space="0" w:color="000000" w:themeColor="text1"/>
              <w:right w:val="single" w:sz="32" w:space="0" w:color="000000" w:themeColor="text1"/>
            </w:tcBorders>
            <w:shd w:val="clear" w:color="auto" w:fill="F2D904"/>
          </w:tcPr>
          <w:p w14:paraId="7134558B"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jc w:val="center"/>
              <w:rPr>
                <w:rFonts w:eastAsia="ヒラギノ角ゴ Pro W3"/>
                <w:kern w:val="1"/>
                <w:szCs w:val="20"/>
                <w:lang w:eastAsia="en-US"/>
              </w:rPr>
            </w:pPr>
            <w:r w:rsidRPr="00222CB8">
              <w:rPr>
                <w:rFonts w:eastAsia="ヒラギノ角ゴ Pro W3"/>
                <w:b/>
                <w:bCs/>
                <w:kern w:val="1"/>
                <w:szCs w:val="20"/>
                <w:lang w:eastAsia="en-US"/>
              </w:rPr>
              <w:t>ANALISIS DE IMPACTOS</w:t>
            </w:r>
          </w:p>
        </w:tc>
      </w:tr>
      <w:tr w:rsidR="00A70719" w:rsidRPr="00A70719" w14:paraId="1D2D021F" w14:textId="77777777" w:rsidTr="00197E8F">
        <w:tblPrEx>
          <w:tblCellMar>
            <w:left w:w="60" w:type="dxa"/>
          </w:tblCellMar>
        </w:tblPrEx>
        <w:trPr>
          <w:cantSplit/>
          <w:trHeight w:val="1550"/>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tcPr>
          <w:p w14:paraId="69040554"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r w:rsidRPr="00222CB8">
              <w:rPr>
                <w:rFonts w:eastAsia="ヒラギノ角ゴ Pro W3"/>
                <w:b/>
                <w:kern w:val="1"/>
                <w:lang w:eastAsia="en-US"/>
              </w:rPr>
              <w:lastRenderedPageBreak/>
              <w:t>Adecuación al orden de competencias</w:t>
            </w:r>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vAlign w:val="center"/>
          </w:tcPr>
          <w:p w14:paraId="5A4D500A" w14:textId="0CDB88DD" w:rsidR="00A70719" w:rsidRPr="00222CB8" w:rsidRDefault="00A70719" w:rsidP="00A70719">
            <w:pPr>
              <w:suppressAutoHyphens/>
              <w:contextualSpacing/>
              <w:jc w:val="both"/>
              <w:outlineLvl w:val="0"/>
              <w:rPr>
                <w:rFonts w:eastAsia="Batang"/>
                <w:szCs w:val="20"/>
                <w:lang w:eastAsia="en-US"/>
              </w:rPr>
            </w:pPr>
            <w:r w:rsidRPr="00222CB8">
              <w:rPr>
                <w:rFonts w:eastAsia="Batang"/>
                <w:szCs w:val="20"/>
                <w:lang w:val="es-ES_tradnl" w:eastAsia="en-US"/>
              </w:rPr>
              <w:t xml:space="preserve">El </w:t>
            </w:r>
            <w:r w:rsidR="00CE287A" w:rsidRPr="00222CB8">
              <w:rPr>
                <w:rFonts w:eastAsia="Batang"/>
                <w:szCs w:val="20"/>
                <w:lang w:val="es-ES_tradnl" w:eastAsia="en-US"/>
              </w:rPr>
              <w:t>r</w:t>
            </w:r>
            <w:r w:rsidRPr="00222CB8">
              <w:rPr>
                <w:rFonts w:eastAsia="Batang"/>
                <w:szCs w:val="20"/>
                <w:lang w:val="es-ES_tradnl" w:eastAsia="en-US"/>
              </w:rPr>
              <w:t xml:space="preserve">eal </w:t>
            </w:r>
            <w:r w:rsidR="00CE287A" w:rsidRPr="00222CB8">
              <w:rPr>
                <w:rFonts w:eastAsia="Batang"/>
                <w:szCs w:val="20"/>
                <w:lang w:val="es-ES_tradnl" w:eastAsia="en-US"/>
              </w:rPr>
              <w:t>d</w:t>
            </w:r>
            <w:r w:rsidRPr="00222CB8">
              <w:rPr>
                <w:rFonts w:eastAsia="Batang"/>
                <w:szCs w:val="20"/>
                <w:lang w:val="es-ES_tradnl" w:eastAsia="en-US"/>
              </w:rPr>
              <w:t>ecreto se dicta al amparo de las competencias del Estado previstas en el artículo 149.</w:t>
            </w:r>
            <w:proofErr w:type="gramStart"/>
            <w:r w:rsidRPr="00222CB8">
              <w:rPr>
                <w:rFonts w:eastAsia="Batang"/>
                <w:szCs w:val="20"/>
                <w:lang w:val="es-ES_tradnl" w:eastAsia="en-US"/>
              </w:rPr>
              <w:t>1.18ª</w:t>
            </w:r>
            <w:proofErr w:type="gramEnd"/>
            <w:r w:rsidRPr="00222CB8">
              <w:rPr>
                <w:rFonts w:eastAsia="Batang"/>
                <w:szCs w:val="20"/>
                <w:lang w:val="es-ES_tradnl" w:eastAsia="en-US"/>
              </w:rPr>
              <w:t xml:space="preserve"> (bases del régimen jurídico de las Administraciones Públicas y procedimiento administrativo común), 21.ª (telecomunicaciones) y 29.ª (seguridad pública). La norma fundamenta la concurrencia de estos títulos en la naturaleza multidisciplinar de la identidad digital, que abarca desde las condiciones básicas de identificación ciudadana hasta los requisitos críticos de ciberseguridad y protección de las redes. Asimismo, se ejerce la potestad de autoorganización para designar a las autoridades nacionales exigidas por el Reglamento (UE) 2024/1183</w:t>
            </w:r>
            <w:r w:rsidR="00513025" w:rsidRPr="00222CB8">
              <w:rPr>
                <w:rFonts w:eastAsia="Batang"/>
                <w:szCs w:val="20"/>
                <w:lang w:val="es-ES_tradnl" w:eastAsia="en-US"/>
              </w:rPr>
              <w:t>.</w:t>
            </w:r>
            <w:r w:rsidRPr="00222CB8">
              <w:rPr>
                <w:rFonts w:eastAsia="Batang"/>
                <w:szCs w:val="20"/>
                <w:lang w:eastAsia="en-US"/>
              </w:rPr>
              <w:t xml:space="preserve"> </w:t>
            </w:r>
          </w:p>
          <w:p w14:paraId="63047861" w14:textId="77777777" w:rsidR="00A70719" w:rsidRPr="00222CB8" w:rsidRDefault="00A70719" w:rsidP="00A70719">
            <w:pPr>
              <w:suppressAutoHyphens/>
              <w:contextualSpacing/>
              <w:jc w:val="both"/>
              <w:outlineLvl w:val="0"/>
              <w:rPr>
                <w:rFonts w:eastAsia="Batang"/>
                <w:szCs w:val="20"/>
                <w:lang w:eastAsia="en-US"/>
              </w:rPr>
            </w:pPr>
          </w:p>
          <w:p w14:paraId="3D8B1EE5" w14:textId="77777777" w:rsidR="00A70719" w:rsidRPr="00222CB8" w:rsidRDefault="00A70719" w:rsidP="00A70719">
            <w:pPr>
              <w:suppressAutoHyphens/>
              <w:contextualSpacing/>
              <w:jc w:val="both"/>
              <w:outlineLvl w:val="0"/>
              <w:rPr>
                <w:rFonts w:eastAsia="Batang"/>
                <w:szCs w:val="20"/>
                <w:lang w:eastAsia="en-US"/>
              </w:rPr>
            </w:pPr>
          </w:p>
        </w:tc>
      </w:tr>
      <w:tr w:rsidR="00A70719" w:rsidRPr="00A70719" w14:paraId="332098F0" w14:textId="77777777" w:rsidTr="00197E8F">
        <w:tblPrEx>
          <w:tblCellMar>
            <w:left w:w="88" w:type="dxa"/>
            <w:right w:w="108" w:type="dxa"/>
          </w:tblCellMar>
        </w:tblPrEx>
        <w:trPr>
          <w:cantSplit/>
          <w:trHeight w:val="2340"/>
        </w:trPr>
        <w:tc>
          <w:tcPr>
            <w:tcW w:w="2634" w:type="dxa"/>
            <w:vMerge w:val="restart"/>
            <w:tcBorders>
              <w:top w:val="single" w:sz="16" w:space="0" w:color="000000" w:themeColor="text1"/>
              <w:left w:val="single" w:sz="32" w:space="0" w:color="000000" w:themeColor="text1"/>
              <w:right w:val="single" w:sz="16" w:space="0" w:color="000000" w:themeColor="text1"/>
            </w:tcBorders>
            <w:shd w:val="clear" w:color="auto" w:fill="E3DFA6"/>
          </w:tcPr>
          <w:p w14:paraId="62B72B50"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Calibri"/>
                <w:b/>
                <w:sz w:val="20"/>
                <w:szCs w:val="24"/>
                <w:lang w:eastAsia="en-US"/>
              </w:rPr>
            </w:pPr>
          </w:p>
          <w:p w14:paraId="280583EA"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Calibri"/>
                <w:b/>
                <w:sz w:val="20"/>
                <w:szCs w:val="24"/>
                <w:lang w:eastAsia="en-US"/>
              </w:rPr>
            </w:pPr>
          </w:p>
          <w:p w14:paraId="76A27867"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Calibri"/>
                <w:b/>
                <w:sz w:val="20"/>
                <w:szCs w:val="24"/>
                <w:lang w:eastAsia="en-US"/>
              </w:rPr>
            </w:pPr>
          </w:p>
          <w:p w14:paraId="51F203CC"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Calibri"/>
                <w:b/>
                <w:sz w:val="20"/>
                <w:szCs w:val="24"/>
                <w:lang w:eastAsia="en-US"/>
              </w:rPr>
            </w:pPr>
          </w:p>
          <w:p w14:paraId="4C889707"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Calibri"/>
                <w:b/>
                <w:sz w:val="20"/>
                <w:szCs w:val="24"/>
                <w:lang w:eastAsia="en-US"/>
              </w:rPr>
            </w:pPr>
          </w:p>
          <w:p w14:paraId="2F16D34B"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Calibri"/>
                <w:b/>
                <w:sz w:val="20"/>
                <w:szCs w:val="24"/>
                <w:lang w:eastAsia="en-US"/>
              </w:rPr>
            </w:pPr>
          </w:p>
          <w:p w14:paraId="19B49F5E"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Calibri"/>
                <w:b/>
                <w:sz w:val="20"/>
                <w:szCs w:val="24"/>
                <w:lang w:eastAsia="en-US"/>
              </w:rPr>
            </w:pPr>
          </w:p>
          <w:p w14:paraId="415298B0"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r w:rsidRPr="00222CB8">
              <w:rPr>
                <w:rFonts w:eastAsia="Calibri"/>
                <w:b/>
                <w:lang w:val="en-US" w:eastAsia="en-US"/>
              </w:rPr>
              <w:t xml:space="preserve">Impacto </w:t>
            </w:r>
            <w:proofErr w:type="spellStart"/>
            <w:r w:rsidRPr="00222CB8">
              <w:rPr>
                <w:rFonts w:eastAsia="Calibri"/>
                <w:b/>
                <w:lang w:val="en-US" w:eastAsia="en-US"/>
              </w:rPr>
              <w:t>económico</w:t>
            </w:r>
            <w:proofErr w:type="spellEnd"/>
            <w:r w:rsidRPr="00222CB8">
              <w:rPr>
                <w:rFonts w:eastAsia="Calibri"/>
                <w:b/>
                <w:lang w:val="en-US" w:eastAsia="en-US"/>
              </w:rPr>
              <w:t xml:space="preserve"> y </w:t>
            </w:r>
            <w:proofErr w:type="spellStart"/>
            <w:r w:rsidRPr="00222CB8">
              <w:rPr>
                <w:rFonts w:eastAsia="Calibri"/>
                <w:b/>
                <w:lang w:val="en-US" w:eastAsia="en-US"/>
              </w:rPr>
              <w:t>presupuestario</w:t>
            </w:r>
            <w:proofErr w:type="spellEnd"/>
          </w:p>
        </w:tc>
        <w:tc>
          <w:tcPr>
            <w:tcW w:w="2642"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EFFFEF"/>
            <w:vAlign w:val="center"/>
          </w:tcPr>
          <w:p w14:paraId="18B872FA"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bCs/>
                <w:kern w:val="1"/>
                <w:szCs w:val="20"/>
                <w:lang w:eastAsia="en-US"/>
              </w:rPr>
            </w:pPr>
            <w:r w:rsidRPr="00222CB8">
              <w:rPr>
                <w:rFonts w:eastAsia="ヒラギノ角ゴ Pro W3"/>
                <w:b/>
                <w:bCs/>
                <w:kern w:val="1"/>
                <w:szCs w:val="20"/>
                <w:lang w:eastAsia="en-US"/>
              </w:rPr>
              <w:t>Efectos sobre la economía en general.</w:t>
            </w:r>
          </w:p>
        </w:tc>
        <w:tc>
          <w:tcPr>
            <w:tcW w:w="4789" w:type="dxa"/>
            <w:gridSpan w:val="3"/>
            <w:tcBorders>
              <w:top w:val="single" w:sz="16" w:space="0" w:color="000000" w:themeColor="text1"/>
              <w:left w:val="single" w:sz="8" w:space="0" w:color="000000" w:themeColor="text1"/>
              <w:bottom w:val="single" w:sz="16" w:space="0" w:color="000000" w:themeColor="text1"/>
              <w:right w:val="single" w:sz="32" w:space="0" w:color="000000" w:themeColor="text1"/>
            </w:tcBorders>
            <w:shd w:val="clear" w:color="auto" w:fill="EFFFEF"/>
          </w:tcPr>
          <w:p w14:paraId="771FAEE4"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jc w:val="both"/>
              <w:rPr>
                <w:rFonts w:eastAsia="ヒラギノ角ゴ Pro W3"/>
                <w:noProof/>
                <w:szCs w:val="20"/>
              </w:rPr>
            </w:pPr>
            <w:r w:rsidRPr="00222CB8">
              <w:rPr>
                <w:rFonts w:eastAsia="ヒラギノ角ゴ Pro W3"/>
                <w:noProof/>
                <w:szCs w:val="20"/>
              </w:rPr>
              <w:t>La norma actúa como el habilitador jurídico esencial para el despliegue del ecosistema de identidad digital en España. Se estima que este marco generará un impacto positivo por la reducción de la brecha de interoperabilidad y la eliminación de barreras en el Mercado Único. Basándose en las estimaciones de la Comisión Europea (SWD/2021/124)</w:t>
            </w:r>
            <w:r w:rsidRPr="00222CB8">
              <w:rPr>
                <w:rFonts w:eastAsia="ヒラギノ角ゴ Pro W3"/>
                <w:noProof/>
                <w:szCs w:val="20"/>
                <w:vertAlign w:val="superscript"/>
              </w:rPr>
              <w:footnoteReference w:id="1"/>
            </w:r>
            <w:r w:rsidRPr="00222CB8">
              <w:rPr>
                <w:rFonts w:eastAsia="ヒラギノ角ゴ Pro W3"/>
                <w:noProof/>
                <w:szCs w:val="20"/>
              </w:rPr>
              <w:t>, se proyecta que este ecosistema aporte un valor añadido bruto de hasta 1.268 millones de euros y contribuya a la creación de entre 5.000 y 28.000 nuevos puestos de trabajo en un horizonte de 10 años. Para las PYMES, se estima un ahorro operativo medio de 20 horas anuales por la simplificación de trámites administrativos.</w:t>
            </w:r>
          </w:p>
          <w:p w14:paraId="15856B60"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jc w:val="both"/>
              <w:rPr>
                <w:rFonts w:eastAsia="ヒラギノ角ゴ Pro W3"/>
                <w:noProof/>
                <w:kern w:val="1"/>
                <w:szCs w:val="20"/>
              </w:rPr>
            </w:pPr>
          </w:p>
          <w:p w14:paraId="3A74EFCF"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jc w:val="both"/>
              <w:rPr>
                <w:rFonts w:eastAsia="ヒラギノ角ゴ Pro W3"/>
                <w:noProof/>
                <w:kern w:val="1"/>
                <w:szCs w:val="20"/>
              </w:rPr>
            </w:pPr>
          </w:p>
        </w:tc>
      </w:tr>
      <w:tr w:rsidR="00A70719" w:rsidRPr="00A70719" w14:paraId="21B7177B" w14:textId="77777777" w:rsidTr="00197E8F">
        <w:tblPrEx>
          <w:tblCellMar>
            <w:left w:w="88" w:type="dxa"/>
            <w:right w:w="108" w:type="dxa"/>
          </w:tblCellMar>
        </w:tblPrEx>
        <w:trPr>
          <w:cantSplit/>
          <w:trHeight w:val="2340"/>
        </w:trPr>
        <w:tc>
          <w:tcPr>
            <w:tcW w:w="2634" w:type="dxa"/>
            <w:vMerge/>
          </w:tcPr>
          <w:p w14:paraId="049806A2"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p>
        </w:tc>
        <w:tc>
          <w:tcPr>
            <w:tcW w:w="2642"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EFFFEF"/>
            <w:vAlign w:val="center"/>
          </w:tcPr>
          <w:p w14:paraId="5743275A"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bCs/>
                <w:kern w:val="1"/>
                <w:szCs w:val="20"/>
                <w:lang w:eastAsia="en-US"/>
              </w:rPr>
            </w:pPr>
            <w:r w:rsidRPr="00222CB8">
              <w:rPr>
                <w:rFonts w:eastAsia="ヒラギノ角ゴ Pro W3"/>
                <w:b/>
                <w:bCs/>
                <w:kern w:val="1"/>
                <w:szCs w:val="20"/>
                <w:lang w:eastAsia="en-US"/>
              </w:rPr>
              <w:t>En relación con la competencia</w:t>
            </w:r>
          </w:p>
        </w:tc>
        <w:tc>
          <w:tcPr>
            <w:tcW w:w="4789" w:type="dxa"/>
            <w:gridSpan w:val="3"/>
            <w:tcBorders>
              <w:top w:val="single" w:sz="16" w:space="0" w:color="000000" w:themeColor="text1"/>
              <w:left w:val="single" w:sz="8" w:space="0" w:color="000000" w:themeColor="text1"/>
              <w:bottom w:val="single" w:sz="16" w:space="0" w:color="000000" w:themeColor="text1"/>
              <w:right w:val="single" w:sz="32" w:space="0" w:color="000000" w:themeColor="text1"/>
            </w:tcBorders>
            <w:shd w:val="clear" w:color="auto" w:fill="EFFFEF"/>
          </w:tcPr>
          <w:p w14:paraId="464991DE"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szCs w:val="20"/>
                <w:lang w:eastAsia="en-US"/>
              </w:rPr>
              <w:t xml:space="preserve">□ </w:t>
            </w:r>
            <w:r w:rsidRPr="00222CB8">
              <w:rPr>
                <w:rFonts w:eastAsia="ヒラギノ角ゴ Pro W3"/>
                <w:kern w:val="1"/>
                <w:szCs w:val="20"/>
                <w:lang w:eastAsia="en-US"/>
              </w:rPr>
              <w:t>La norma no tiene efectos significativos sobre la competencia.</w:t>
            </w:r>
          </w:p>
          <w:p w14:paraId="0F6DDA40"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ascii="Cambria Math" w:eastAsia="ヒラギノ角ゴ Pro W3" w:hAnsi="Cambria Math" w:cs="Cambria Math"/>
                <w:szCs w:val="20"/>
                <w:lang w:eastAsia="en-US"/>
              </w:rPr>
              <w:t>⊠</w:t>
            </w:r>
            <w:r w:rsidRPr="00222CB8">
              <w:rPr>
                <w:rFonts w:eastAsia="ヒラギノ角ゴ Pro W3"/>
                <w:kern w:val="1"/>
                <w:szCs w:val="20"/>
                <w:lang w:eastAsia="en-US"/>
              </w:rPr>
              <w:t xml:space="preserve"> La norma tiene efectos positivos sobre la competencia.</w:t>
            </w:r>
          </w:p>
          <w:p w14:paraId="045A929C"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szCs w:val="20"/>
                <w:lang w:eastAsia="en-US"/>
              </w:rPr>
              <w:t xml:space="preserve">□ </w:t>
            </w:r>
            <w:r w:rsidRPr="00222CB8">
              <w:rPr>
                <w:rFonts w:eastAsia="ヒラギノ角ゴ Pro W3"/>
                <w:kern w:val="1"/>
                <w:szCs w:val="20"/>
                <w:lang w:eastAsia="en-US"/>
              </w:rPr>
              <w:t>La norma tiene efectos negativos sobre la competencia.</w:t>
            </w:r>
          </w:p>
        </w:tc>
      </w:tr>
      <w:tr w:rsidR="00A70719" w:rsidRPr="00A70719" w14:paraId="2ED55035" w14:textId="77777777" w:rsidTr="00197E8F">
        <w:tblPrEx>
          <w:tblCellMar>
            <w:left w:w="88" w:type="dxa"/>
            <w:right w:w="108" w:type="dxa"/>
          </w:tblCellMar>
        </w:tblPrEx>
        <w:trPr>
          <w:cantSplit/>
          <w:trHeight w:val="2340"/>
        </w:trPr>
        <w:tc>
          <w:tcPr>
            <w:tcW w:w="2634" w:type="dxa"/>
            <w:vMerge/>
          </w:tcPr>
          <w:p w14:paraId="080C94FE"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p>
        </w:tc>
        <w:tc>
          <w:tcPr>
            <w:tcW w:w="2642"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EFFFEF"/>
            <w:vAlign w:val="center"/>
          </w:tcPr>
          <w:p w14:paraId="65BC7670"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b/>
                <w:bCs/>
                <w:kern w:val="1"/>
                <w:szCs w:val="20"/>
                <w:lang w:eastAsia="en-US"/>
              </w:rPr>
            </w:pPr>
            <w:r w:rsidRPr="00222CB8">
              <w:rPr>
                <w:rFonts w:eastAsia="ヒラギノ角ゴ Pro W3"/>
                <w:b/>
                <w:bCs/>
                <w:kern w:val="1"/>
                <w:szCs w:val="20"/>
                <w:lang w:eastAsia="en-US"/>
              </w:rPr>
              <w:t>Desde el punto de vista de las cargas administrativas.</w:t>
            </w:r>
          </w:p>
        </w:tc>
        <w:tc>
          <w:tcPr>
            <w:tcW w:w="4789" w:type="dxa"/>
            <w:gridSpan w:val="3"/>
            <w:tcBorders>
              <w:top w:val="single" w:sz="16" w:space="0" w:color="000000" w:themeColor="text1"/>
              <w:left w:val="single" w:sz="8" w:space="0" w:color="000000" w:themeColor="text1"/>
              <w:bottom w:val="single" w:sz="16" w:space="0" w:color="000000" w:themeColor="text1"/>
              <w:right w:val="single" w:sz="32" w:space="0" w:color="000000" w:themeColor="text1"/>
            </w:tcBorders>
            <w:shd w:val="clear" w:color="auto" w:fill="EFFFEF"/>
          </w:tcPr>
          <w:p w14:paraId="0A18A04D"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ascii="Cambria Math" w:eastAsia="ヒラギノ角ゴ Pro W3" w:hAnsi="Cambria Math" w:cs="Cambria Math"/>
                <w:szCs w:val="20"/>
                <w:lang w:eastAsia="en-US"/>
              </w:rPr>
              <w:t>⊠</w:t>
            </w:r>
            <w:r w:rsidRPr="00222CB8">
              <w:rPr>
                <w:rFonts w:eastAsia="ヒラギノ角ゴ Pro W3"/>
                <w:szCs w:val="20"/>
                <w:lang w:eastAsia="en-US"/>
              </w:rPr>
              <w:t xml:space="preserve"> </w:t>
            </w:r>
            <w:r w:rsidRPr="00222CB8">
              <w:rPr>
                <w:rFonts w:eastAsia="ヒラギノ角ゴ Pro W3"/>
                <w:kern w:val="1"/>
                <w:szCs w:val="20"/>
                <w:lang w:eastAsia="en-US"/>
              </w:rPr>
              <w:t>Supone una reducción de cargas administrativas.</w:t>
            </w:r>
          </w:p>
          <w:p w14:paraId="6DCA55E1"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kern w:val="1"/>
                <w:szCs w:val="20"/>
                <w:lang w:eastAsia="en-US"/>
              </w:rPr>
              <w:t>Cuantificación estimada de 350-400 Millones de euros a nivel Unión Europea</w:t>
            </w:r>
            <w:r w:rsidRPr="00222CB8">
              <w:rPr>
                <w:rFonts w:eastAsia="ヒラギノ角ゴ Pro W3"/>
                <w:kern w:val="1"/>
                <w:szCs w:val="20"/>
                <w:vertAlign w:val="superscript"/>
                <w:lang w:eastAsia="en-US"/>
              </w:rPr>
              <w:footnoteReference w:id="2"/>
            </w:r>
          </w:p>
          <w:p w14:paraId="064D8384"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szCs w:val="20"/>
                <w:lang w:eastAsia="en-US"/>
              </w:rPr>
              <w:t xml:space="preserve">□ </w:t>
            </w:r>
            <w:r w:rsidRPr="00222CB8">
              <w:rPr>
                <w:rFonts w:eastAsia="ヒラギノ角ゴ Pro W3"/>
                <w:kern w:val="1"/>
                <w:szCs w:val="20"/>
                <w:lang w:eastAsia="en-US"/>
              </w:rPr>
              <w:t xml:space="preserve">Incorpora nuevas cargas administrativas. </w:t>
            </w:r>
          </w:p>
          <w:p w14:paraId="66BB0C48"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szCs w:val="20"/>
                <w:lang w:eastAsia="en-US"/>
              </w:rPr>
              <w:t xml:space="preserve">□ </w:t>
            </w:r>
            <w:proofErr w:type="gramStart"/>
            <w:r w:rsidRPr="00222CB8">
              <w:rPr>
                <w:rFonts w:eastAsia="ヒラギノ角ゴ Pro W3"/>
                <w:kern w:val="1"/>
                <w:szCs w:val="20"/>
                <w:lang w:eastAsia="en-US"/>
              </w:rPr>
              <w:t>Cuantificación  estimada</w:t>
            </w:r>
            <w:proofErr w:type="gramEnd"/>
            <w:r w:rsidRPr="00222CB8">
              <w:rPr>
                <w:rFonts w:eastAsia="ヒラギノ角ゴ Pro W3"/>
                <w:kern w:val="1"/>
                <w:szCs w:val="20"/>
                <w:lang w:eastAsia="en-US"/>
              </w:rPr>
              <w:t>_________€</w:t>
            </w:r>
          </w:p>
          <w:p w14:paraId="30D3223D"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szCs w:val="20"/>
                <w:lang w:eastAsia="en-US"/>
              </w:rPr>
              <w:t>No afecta a las cargas administrativas.</w:t>
            </w:r>
          </w:p>
        </w:tc>
      </w:tr>
      <w:tr w:rsidR="00A70719" w:rsidRPr="00A70719" w14:paraId="4294ACB1" w14:textId="77777777" w:rsidTr="00197E8F">
        <w:tblPrEx>
          <w:tblCellMar>
            <w:left w:w="88" w:type="dxa"/>
            <w:right w:w="108" w:type="dxa"/>
          </w:tblCellMar>
        </w:tblPrEx>
        <w:trPr>
          <w:cantSplit/>
          <w:trHeight w:val="2713"/>
        </w:trPr>
        <w:tc>
          <w:tcPr>
            <w:tcW w:w="2634" w:type="dxa"/>
            <w:vMerge/>
          </w:tcPr>
          <w:p w14:paraId="4872D71F"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eastAsia="en-US"/>
              </w:rPr>
            </w:pPr>
          </w:p>
        </w:tc>
        <w:tc>
          <w:tcPr>
            <w:tcW w:w="2642"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EEFFEB"/>
            <w:vAlign w:val="center"/>
          </w:tcPr>
          <w:p w14:paraId="78B3A03E"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kern w:val="1"/>
                <w:szCs w:val="20"/>
                <w:lang w:eastAsia="en-US"/>
              </w:rPr>
              <w:t>Desde el punto de vista de los presupuestos, la norma</w:t>
            </w:r>
          </w:p>
          <w:p w14:paraId="1E175E84"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szCs w:val="20"/>
                <w:lang w:eastAsia="en-US"/>
              </w:rPr>
            </w:pPr>
          </w:p>
          <w:p w14:paraId="0191A854"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ascii="Cambria Math" w:eastAsia="ヒラギノ角ゴ Pro W3" w:hAnsi="Cambria Math" w:cs="Cambria Math"/>
                <w:szCs w:val="20"/>
                <w:lang w:eastAsia="en-US"/>
              </w:rPr>
              <w:t>⊠</w:t>
            </w:r>
            <w:r w:rsidRPr="00222CB8">
              <w:rPr>
                <w:rFonts w:eastAsia="ヒラギノ角ゴ Pro W3"/>
                <w:szCs w:val="20"/>
                <w:lang w:eastAsia="en-US"/>
              </w:rPr>
              <w:t xml:space="preserve"> </w:t>
            </w:r>
            <w:r w:rsidRPr="00222CB8">
              <w:rPr>
                <w:rFonts w:eastAsia="ヒラギノ角ゴ Pro W3"/>
                <w:kern w:val="1"/>
                <w:szCs w:val="20"/>
                <w:lang w:eastAsia="en-US"/>
              </w:rPr>
              <w:t xml:space="preserve">Afecta a los presupuestos de la Administración del Estado. </w:t>
            </w:r>
          </w:p>
          <w:p w14:paraId="4BF33EBC"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p>
          <w:p w14:paraId="4DBA902F"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szCs w:val="20"/>
                <w:lang w:eastAsia="en-US"/>
              </w:rPr>
              <w:t xml:space="preserve">□ </w:t>
            </w:r>
            <w:r w:rsidRPr="00222CB8">
              <w:rPr>
                <w:rFonts w:eastAsia="ヒラギノ角ゴ Pro W3"/>
                <w:kern w:val="1"/>
                <w:szCs w:val="20"/>
                <w:lang w:eastAsia="en-US"/>
              </w:rPr>
              <w:t>Afecta a los presupuestos de otras Administraciones Territoriales.</w:t>
            </w:r>
          </w:p>
        </w:tc>
        <w:tc>
          <w:tcPr>
            <w:tcW w:w="4789" w:type="dxa"/>
            <w:gridSpan w:val="3"/>
            <w:tcBorders>
              <w:top w:val="single" w:sz="16" w:space="0" w:color="000000" w:themeColor="text1"/>
              <w:left w:val="single" w:sz="8" w:space="0" w:color="000000" w:themeColor="text1"/>
              <w:bottom w:val="single" w:sz="16" w:space="0" w:color="000000" w:themeColor="text1"/>
              <w:right w:val="single" w:sz="32" w:space="0" w:color="000000" w:themeColor="text1"/>
            </w:tcBorders>
            <w:shd w:val="clear" w:color="auto" w:fill="EEFFEB"/>
            <w:vAlign w:val="center"/>
          </w:tcPr>
          <w:p w14:paraId="093A30DF"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szCs w:val="20"/>
                <w:lang w:eastAsia="en-US"/>
              </w:rPr>
            </w:pPr>
            <w:r w:rsidRPr="00222CB8">
              <w:rPr>
                <w:rFonts w:ascii="Cambria Math" w:eastAsia="ヒラギノ角ゴ Pro W3" w:hAnsi="Cambria Math" w:cs="Cambria Math"/>
                <w:szCs w:val="20"/>
                <w:lang w:eastAsia="en-US"/>
              </w:rPr>
              <w:t>⊠</w:t>
            </w:r>
            <w:r w:rsidRPr="00222CB8">
              <w:rPr>
                <w:rFonts w:eastAsia="ヒラギノ角ゴ Pro W3"/>
                <w:szCs w:val="20"/>
                <w:lang w:eastAsia="en-US"/>
              </w:rPr>
              <w:t xml:space="preserve"> </w:t>
            </w:r>
            <w:r w:rsidRPr="00222CB8">
              <w:rPr>
                <w:rFonts w:eastAsia="ヒラギノ角ゴ Pro W3"/>
                <w:kern w:val="1"/>
                <w:szCs w:val="20"/>
                <w:lang w:eastAsia="en-US"/>
              </w:rPr>
              <w:t>Implica un gasto.</w:t>
            </w:r>
            <w:r w:rsidRPr="00222CB8">
              <w:rPr>
                <w:rFonts w:eastAsia="ヒラギノ角ゴ Pro W3"/>
                <w:szCs w:val="20"/>
                <w:lang w:eastAsia="en-US"/>
              </w:rPr>
              <w:t xml:space="preserve"> </w:t>
            </w:r>
          </w:p>
          <w:p w14:paraId="18718DAA"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r w:rsidRPr="00222CB8">
              <w:rPr>
                <w:rFonts w:eastAsia="ヒラギノ角ゴ Pro W3"/>
                <w:szCs w:val="20"/>
                <w:lang w:eastAsia="en-US"/>
              </w:rPr>
              <w:t xml:space="preserve">□ </w:t>
            </w:r>
            <w:r w:rsidRPr="00222CB8">
              <w:rPr>
                <w:rFonts w:eastAsia="ヒラギノ角ゴ Pro W3"/>
                <w:kern w:val="1"/>
                <w:szCs w:val="20"/>
                <w:lang w:eastAsia="en-US"/>
              </w:rPr>
              <w:t xml:space="preserve">Implica un ingreso. </w:t>
            </w:r>
          </w:p>
          <w:p w14:paraId="57548481"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p>
          <w:p w14:paraId="606C2938"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p>
          <w:p w14:paraId="307639D0"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rPr>
                <w:rFonts w:eastAsia="ヒラギノ角ゴ Pro W3"/>
                <w:kern w:val="1"/>
                <w:szCs w:val="20"/>
                <w:lang w:eastAsia="en-US"/>
              </w:rPr>
            </w:pPr>
          </w:p>
        </w:tc>
      </w:tr>
      <w:tr w:rsidR="00A70719" w:rsidRPr="00A70719" w14:paraId="737A9009" w14:textId="77777777" w:rsidTr="00197E8F">
        <w:tblPrEx>
          <w:tblCellMar>
            <w:left w:w="80" w:type="dxa"/>
          </w:tblCellMar>
        </w:tblPrEx>
        <w:trPr>
          <w:cantSplit/>
          <w:trHeight w:val="801"/>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tcPr>
          <w:p w14:paraId="5CB1CAC1"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r w:rsidRPr="00222CB8">
              <w:rPr>
                <w:rFonts w:eastAsia="ヒラギノ角ゴ Pro W3"/>
                <w:b/>
                <w:kern w:val="1"/>
                <w:lang w:val="en-US" w:eastAsia="en-US"/>
              </w:rPr>
              <w:t xml:space="preserve">Impacto de </w:t>
            </w:r>
            <w:proofErr w:type="spellStart"/>
            <w:r w:rsidRPr="00222CB8">
              <w:rPr>
                <w:rFonts w:eastAsia="ヒラギノ角ゴ Pro W3"/>
                <w:b/>
                <w:kern w:val="1"/>
                <w:lang w:val="en-US" w:eastAsia="en-US"/>
              </w:rPr>
              <w:t>género</w:t>
            </w:r>
            <w:proofErr w:type="spellEnd"/>
          </w:p>
        </w:tc>
        <w:tc>
          <w:tcPr>
            <w:tcW w:w="2642" w:type="dxa"/>
            <w:tcBorders>
              <w:top w:val="single" w:sz="16" w:space="0" w:color="000000" w:themeColor="text1"/>
              <w:left w:val="single" w:sz="16" w:space="0" w:color="000000" w:themeColor="text1"/>
              <w:bottom w:val="single" w:sz="16" w:space="0" w:color="000000" w:themeColor="text1"/>
              <w:right w:val="single" w:sz="8" w:space="0" w:color="000000" w:themeColor="text1"/>
            </w:tcBorders>
            <w:shd w:val="clear" w:color="auto" w:fill="EEFFEB"/>
            <w:vAlign w:val="center"/>
          </w:tcPr>
          <w:p w14:paraId="2BBC40C1"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szCs w:val="20"/>
                <w:lang w:eastAsia="en-US"/>
              </w:rPr>
            </w:pPr>
            <w:r w:rsidRPr="00222CB8">
              <w:rPr>
                <w:rFonts w:eastAsia="ヒラギノ角ゴ Pro W3"/>
                <w:kern w:val="1"/>
                <w:szCs w:val="20"/>
                <w:lang w:eastAsia="en-US"/>
              </w:rPr>
              <w:t>La norma tiene un impacto de género</w:t>
            </w:r>
          </w:p>
        </w:tc>
        <w:tc>
          <w:tcPr>
            <w:tcW w:w="4789" w:type="dxa"/>
            <w:gridSpan w:val="3"/>
            <w:tcBorders>
              <w:top w:val="single" w:sz="16" w:space="0" w:color="000000" w:themeColor="text1"/>
              <w:left w:val="single" w:sz="8" w:space="0" w:color="000000" w:themeColor="text1"/>
              <w:bottom w:val="single" w:sz="16" w:space="0" w:color="000000" w:themeColor="text1"/>
              <w:right w:val="single" w:sz="32" w:space="0" w:color="000000" w:themeColor="text1"/>
            </w:tcBorders>
            <w:shd w:val="clear" w:color="auto" w:fill="EEFFEB"/>
            <w:vAlign w:val="center"/>
          </w:tcPr>
          <w:p w14:paraId="700D0281"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szCs w:val="20"/>
                <w:lang w:val="en-US" w:eastAsia="en-US"/>
              </w:rPr>
            </w:pPr>
            <w:r w:rsidRPr="00222CB8">
              <w:rPr>
                <w:rFonts w:eastAsia="ヒラギノ角ゴ Pro W3"/>
                <w:szCs w:val="20"/>
                <w:lang w:eastAsia="en-US"/>
              </w:rPr>
              <w:t xml:space="preserve">□ </w:t>
            </w:r>
            <w:proofErr w:type="spellStart"/>
            <w:r w:rsidRPr="00222CB8">
              <w:rPr>
                <w:rFonts w:eastAsia="ヒラギノ角ゴ Pro W3"/>
                <w:kern w:val="1"/>
                <w:szCs w:val="20"/>
                <w:lang w:val="en-US" w:eastAsia="en-US"/>
              </w:rPr>
              <w:t>Negativo</w:t>
            </w:r>
            <w:proofErr w:type="spellEnd"/>
            <w:r w:rsidRPr="00222CB8">
              <w:rPr>
                <w:rFonts w:eastAsia="ヒラギノ角ゴ Pro W3"/>
                <w:kern w:val="1"/>
                <w:szCs w:val="20"/>
                <w:lang w:val="en-US" w:eastAsia="en-US"/>
              </w:rPr>
              <w:t xml:space="preserve">        </w:t>
            </w:r>
          </w:p>
          <w:p w14:paraId="3E25F943"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szCs w:val="20"/>
                <w:lang w:eastAsia="en-US"/>
              </w:rPr>
            </w:pPr>
            <w:r w:rsidRPr="00222CB8">
              <w:rPr>
                <w:rFonts w:ascii="Cambria Math" w:eastAsia="ヒラギノ角ゴ Pro W3" w:hAnsi="Cambria Math" w:cs="Cambria Math"/>
                <w:szCs w:val="20"/>
                <w:lang w:eastAsia="en-US"/>
              </w:rPr>
              <w:t>⊠</w:t>
            </w:r>
            <w:r w:rsidRPr="00222CB8">
              <w:rPr>
                <w:rFonts w:eastAsia="ヒラギノ角ゴ Pro W3"/>
                <w:szCs w:val="20"/>
                <w:lang w:eastAsia="en-US"/>
              </w:rPr>
              <w:t xml:space="preserve"> Nulo</w:t>
            </w:r>
          </w:p>
          <w:p w14:paraId="51D8567B"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szCs w:val="20"/>
                <w:lang w:val="en-US" w:eastAsia="en-US"/>
              </w:rPr>
            </w:pPr>
            <w:r w:rsidRPr="00222CB8">
              <w:rPr>
                <w:rFonts w:eastAsia="ヒラギノ角ゴ Pro W3"/>
                <w:szCs w:val="20"/>
                <w:lang w:eastAsia="en-US"/>
              </w:rPr>
              <w:t xml:space="preserve">□ </w:t>
            </w:r>
            <w:proofErr w:type="spellStart"/>
            <w:r w:rsidRPr="00222CB8">
              <w:rPr>
                <w:rFonts w:eastAsia="ヒラギノ角ゴ Pro W3"/>
                <w:kern w:val="1"/>
                <w:szCs w:val="20"/>
                <w:lang w:val="en-US" w:eastAsia="en-US"/>
              </w:rPr>
              <w:t>Positivo</w:t>
            </w:r>
            <w:proofErr w:type="spellEnd"/>
            <w:r w:rsidRPr="00222CB8">
              <w:rPr>
                <w:rFonts w:eastAsia="ヒラギノ角ゴ Pro W3"/>
                <w:kern w:val="1"/>
                <w:szCs w:val="20"/>
                <w:lang w:val="en-US" w:eastAsia="en-US"/>
              </w:rPr>
              <w:t xml:space="preserve">   </w:t>
            </w:r>
          </w:p>
        </w:tc>
      </w:tr>
      <w:tr w:rsidR="00A70719" w:rsidRPr="00A70719" w14:paraId="60AD9C89" w14:textId="77777777" w:rsidTr="00197E8F">
        <w:tblPrEx>
          <w:tblCellMar>
            <w:left w:w="60" w:type="dxa"/>
          </w:tblCellMar>
        </w:tblPrEx>
        <w:trPr>
          <w:cantSplit/>
          <w:trHeight w:val="777"/>
        </w:trPr>
        <w:tc>
          <w:tcPr>
            <w:tcW w:w="2634" w:type="dxa"/>
            <w:tcBorders>
              <w:top w:val="single" w:sz="16" w:space="0" w:color="000000" w:themeColor="text1"/>
              <w:left w:val="single" w:sz="32" w:space="0" w:color="000000" w:themeColor="text1"/>
              <w:bottom w:val="single" w:sz="16" w:space="0" w:color="000000" w:themeColor="text1"/>
              <w:right w:val="single" w:sz="16" w:space="0" w:color="000000" w:themeColor="text1"/>
            </w:tcBorders>
            <w:shd w:val="clear" w:color="auto" w:fill="E3DFA6"/>
          </w:tcPr>
          <w:p w14:paraId="3FF4A3ED"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proofErr w:type="spellStart"/>
            <w:r w:rsidRPr="00222CB8">
              <w:rPr>
                <w:rFonts w:eastAsia="ヒラギノ角ゴ Pro W3"/>
                <w:b/>
                <w:kern w:val="1"/>
                <w:lang w:val="en-US" w:eastAsia="en-US"/>
              </w:rPr>
              <w:t>Otros</w:t>
            </w:r>
            <w:proofErr w:type="spellEnd"/>
            <w:r w:rsidRPr="00222CB8">
              <w:rPr>
                <w:rFonts w:eastAsia="ヒラギノ角ゴ Pro W3"/>
                <w:b/>
                <w:kern w:val="1"/>
                <w:lang w:val="en-US" w:eastAsia="en-US"/>
              </w:rPr>
              <w:t xml:space="preserve"> </w:t>
            </w:r>
            <w:proofErr w:type="spellStart"/>
            <w:r w:rsidRPr="00222CB8">
              <w:rPr>
                <w:rFonts w:eastAsia="ヒラギノ角ゴ Pro W3"/>
                <w:b/>
                <w:kern w:val="1"/>
                <w:lang w:val="en-US" w:eastAsia="en-US"/>
              </w:rPr>
              <w:t>impactos</w:t>
            </w:r>
            <w:proofErr w:type="spellEnd"/>
            <w:r w:rsidRPr="00222CB8">
              <w:rPr>
                <w:rFonts w:eastAsia="ヒラギノ角ゴ Pro W3"/>
                <w:b/>
                <w:kern w:val="1"/>
                <w:lang w:val="en-US" w:eastAsia="en-US"/>
              </w:rPr>
              <w:t xml:space="preserve"> </w:t>
            </w:r>
            <w:proofErr w:type="spellStart"/>
            <w:r w:rsidRPr="00222CB8">
              <w:rPr>
                <w:rFonts w:eastAsia="ヒラギノ角ゴ Pro W3"/>
                <w:b/>
                <w:kern w:val="1"/>
                <w:lang w:val="en-US" w:eastAsia="en-US"/>
              </w:rPr>
              <w:t>considerados</w:t>
            </w:r>
            <w:proofErr w:type="spellEnd"/>
          </w:p>
        </w:tc>
        <w:tc>
          <w:tcPr>
            <w:tcW w:w="7431" w:type="dxa"/>
            <w:gridSpan w:val="4"/>
            <w:tcBorders>
              <w:top w:val="single" w:sz="16" w:space="0" w:color="000000" w:themeColor="text1"/>
              <w:left w:val="single" w:sz="16" w:space="0" w:color="000000" w:themeColor="text1"/>
              <w:bottom w:val="single" w:sz="16" w:space="0" w:color="000000" w:themeColor="text1"/>
              <w:right w:val="single" w:sz="32" w:space="0" w:color="000000" w:themeColor="text1"/>
            </w:tcBorders>
            <w:shd w:val="clear" w:color="auto" w:fill="EEFFEB"/>
            <w:vAlign w:val="center"/>
          </w:tcPr>
          <w:p w14:paraId="2741A247" w14:textId="77777777" w:rsidR="00A70719" w:rsidRPr="00222CB8" w:rsidRDefault="00A70719" w:rsidP="00A70719">
            <w:pPr>
              <w:numPr>
                <w:ilvl w:val="0"/>
                <w:numId w:val="38"/>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ind w:left="426"/>
              <w:jc w:val="both"/>
              <w:rPr>
                <w:rFonts w:eastAsia="ヒラギノ角ゴ Pro W3"/>
                <w:szCs w:val="20"/>
                <w:lang w:eastAsia="en-US"/>
              </w:rPr>
            </w:pPr>
            <w:r w:rsidRPr="00222CB8">
              <w:rPr>
                <w:rFonts w:eastAsia="ヒラギノ角ゴ Pro W3"/>
                <w:szCs w:val="20"/>
                <w:lang w:eastAsia="en-US"/>
              </w:rPr>
              <w:t xml:space="preserve">Cambio climático: Impacto positivo por la transición a procesos </w:t>
            </w:r>
            <w:proofErr w:type="spellStart"/>
            <w:r w:rsidRPr="00222CB8">
              <w:rPr>
                <w:rFonts w:eastAsia="ヒラギノ角ゴ Pro W3"/>
                <w:i/>
                <w:iCs/>
                <w:szCs w:val="20"/>
                <w:lang w:eastAsia="en-US"/>
              </w:rPr>
              <w:t>paper-less</w:t>
            </w:r>
            <w:proofErr w:type="spellEnd"/>
            <w:r w:rsidRPr="00222CB8">
              <w:rPr>
                <w:rFonts w:eastAsia="ヒラギノ角ゴ Pro W3"/>
                <w:szCs w:val="20"/>
                <w:lang w:eastAsia="en-US"/>
              </w:rPr>
              <w:t xml:space="preserve"> y reducción de desplazamientos, alineado con el Pacto Verde Europeo.</w:t>
            </w:r>
          </w:p>
          <w:p w14:paraId="1BFB35D8" w14:textId="77777777" w:rsidR="00A70719" w:rsidRPr="00222CB8" w:rsidRDefault="00A70719" w:rsidP="00A70719">
            <w:pPr>
              <w:numPr>
                <w:ilvl w:val="0"/>
                <w:numId w:val="38"/>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ind w:left="426"/>
              <w:jc w:val="both"/>
              <w:rPr>
                <w:rFonts w:eastAsia="ヒラギノ角ゴ Pro W3"/>
                <w:szCs w:val="20"/>
                <w:lang w:eastAsia="en-US"/>
              </w:rPr>
            </w:pPr>
            <w:r w:rsidRPr="00222CB8">
              <w:rPr>
                <w:rFonts w:eastAsia="ヒラギノ角ゴ Pro W3"/>
                <w:szCs w:val="20"/>
                <w:lang w:eastAsia="en-US"/>
              </w:rPr>
              <w:t>Impacto social e inclusión: Impacto positivo. Mejora el acceso de colectivos vulnerables y zonas rurales a servicios transfronterizos.</w:t>
            </w:r>
          </w:p>
          <w:p w14:paraId="0F4D4DDA" w14:textId="77777777" w:rsidR="00A70719" w:rsidRPr="00222CB8" w:rsidRDefault="00A70719" w:rsidP="00A70719">
            <w:pPr>
              <w:numPr>
                <w:ilvl w:val="0"/>
                <w:numId w:val="38"/>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ind w:left="426"/>
              <w:jc w:val="both"/>
              <w:rPr>
                <w:rFonts w:eastAsia="ヒラギノ角ゴ Pro W3"/>
                <w:szCs w:val="20"/>
                <w:lang w:eastAsia="en-US"/>
              </w:rPr>
            </w:pPr>
            <w:r w:rsidRPr="00222CB8">
              <w:rPr>
                <w:rFonts w:eastAsia="ヒラギノ角ゴ Pro W3"/>
                <w:szCs w:val="20"/>
                <w:lang w:eastAsia="en-US"/>
              </w:rPr>
              <w:t>Accesibilidad y discapacidad: Impacto positivo. La norma obliga a que la Cartera cumpla con los requisitos de accesibilidad de la Directiva (UE) 2019/882.</w:t>
            </w:r>
          </w:p>
          <w:p w14:paraId="23B06862" w14:textId="77777777" w:rsidR="00A70719" w:rsidRPr="00222CB8" w:rsidRDefault="00A70719" w:rsidP="00A70719">
            <w:pPr>
              <w:numPr>
                <w:ilvl w:val="0"/>
                <w:numId w:val="38"/>
              </w:numPr>
              <w:tabs>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ind w:left="426"/>
              <w:jc w:val="both"/>
              <w:rPr>
                <w:rFonts w:eastAsia="ヒラギノ角ゴ Pro W3"/>
                <w:szCs w:val="20"/>
                <w:lang w:eastAsia="en-US"/>
              </w:rPr>
            </w:pPr>
            <w:r w:rsidRPr="00222CB8">
              <w:rPr>
                <w:rFonts w:eastAsia="ヒラギノ角ゴ Pro W3"/>
                <w:szCs w:val="20"/>
                <w:lang w:eastAsia="en-US"/>
              </w:rPr>
              <w:t>Infancia y adolescencia: Impacto positivo. Habilita mecanismos de verificación de edad que protegen al menor mediante la divulgación selectiva, evitando el acceso a contenidos no deseados sin revelar la identidad completa.</w:t>
            </w:r>
          </w:p>
          <w:p w14:paraId="41A13651"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after="0"/>
              <w:jc w:val="both"/>
              <w:rPr>
                <w:rFonts w:eastAsia="ヒラギノ角ゴ Pro W3"/>
                <w:kern w:val="1"/>
                <w:szCs w:val="20"/>
                <w:lang w:eastAsia="en-US"/>
              </w:rPr>
            </w:pPr>
          </w:p>
        </w:tc>
      </w:tr>
      <w:tr w:rsidR="00A70719" w:rsidRPr="00A70719" w14:paraId="3BFBB787" w14:textId="77777777" w:rsidTr="00197E8F">
        <w:tblPrEx>
          <w:tblCellMar>
            <w:left w:w="60" w:type="dxa"/>
          </w:tblCellMar>
        </w:tblPrEx>
        <w:trPr>
          <w:cantSplit/>
          <w:trHeight w:val="851"/>
        </w:trPr>
        <w:tc>
          <w:tcPr>
            <w:tcW w:w="2634" w:type="dxa"/>
            <w:tcBorders>
              <w:top w:val="single" w:sz="16" w:space="0" w:color="000000" w:themeColor="text1"/>
              <w:left w:val="single" w:sz="32" w:space="0" w:color="000000" w:themeColor="text1"/>
              <w:bottom w:val="single" w:sz="32" w:space="0" w:color="000000" w:themeColor="text1"/>
              <w:right w:val="single" w:sz="16" w:space="0" w:color="000000" w:themeColor="text1"/>
            </w:tcBorders>
            <w:shd w:val="clear" w:color="auto" w:fill="E3DFA6"/>
          </w:tcPr>
          <w:p w14:paraId="7F5B2F2C" w14:textId="77777777" w:rsidR="00A70719" w:rsidRPr="00222CB8" w:rsidRDefault="00A70719" w:rsidP="00A70719">
            <w:pPr>
              <w:tabs>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lang w:val="en-US" w:eastAsia="en-US"/>
              </w:rPr>
            </w:pPr>
            <w:r w:rsidRPr="00222CB8">
              <w:rPr>
                <w:rFonts w:eastAsia="ヒラギノ角ゴ Pro W3"/>
                <w:b/>
                <w:kern w:val="1"/>
                <w:lang w:val="en-US" w:eastAsia="en-US"/>
              </w:rPr>
              <w:lastRenderedPageBreak/>
              <w:t>OTRAS CONSIDERACIONES</w:t>
            </w:r>
          </w:p>
        </w:tc>
        <w:tc>
          <w:tcPr>
            <w:tcW w:w="7431" w:type="dxa"/>
            <w:gridSpan w:val="4"/>
            <w:tcBorders>
              <w:top w:val="single" w:sz="16" w:space="0" w:color="000000" w:themeColor="text1"/>
              <w:left w:val="single" w:sz="16" w:space="0" w:color="000000" w:themeColor="text1"/>
              <w:bottom w:val="single" w:sz="32" w:space="0" w:color="000000" w:themeColor="text1"/>
              <w:right w:val="single" w:sz="32" w:space="0" w:color="000000" w:themeColor="text1"/>
            </w:tcBorders>
            <w:shd w:val="clear" w:color="auto" w:fill="EEFFEB"/>
          </w:tcPr>
          <w:p w14:paraId="682DB167" w14:textId="77777777" w:rsidR="00A70719" w:rsidRPr="00222CB8" w:rsidRDefault="00A70719" w:rsidP="00A70719">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356"/>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s>
              <w:suppressAutoHyphens/>
              <w:spacing w:before="200" w:after="80"/>
              <w:rPr>
                <w:rFonts w:eastAsia="ヒラギノ角ゴ Pro W3"/>
                <w:kern w:val="1"/>
                <w:szCs w:val="20"/>
                <w:lang w:eastAsia="en-US"/>
              </w:rPr>
            </w:pPr>
            <w:r w:rsidRPr="00222CB8">
              <w:rPr>
                <w:rFonts w:eastAsia="ヒラギノ角ゴ Pro W3"/>
                <w:kern w:val="1"/>
                <w:szCs w:val="20"/>
                <w:lang w:eastAsia="en-US"/>
              </w:rPr>
              <w:t>No se realizan.</w:t>
            </w:r>
          </w:p>
        </w:tc>
      </w:tr>
    </w:tbl>
    <w:p w14:paraId="42BC7A3A" w14:textId="77777777" w:rsidR="00A70719" w:rsidRPr="00A70719" w:rsidRDefault="00A70719" w:rsidP="00A70719">
      <w:pPr>
        <w:tabs>
          <w:tab w:val="left" w:pos="360"/>
        </w:tabs>
        <w:suppressAutoHyphens/>
        <w:spacing w:after="0"/>
        <w:jc w:val="both"/>
        <w:rPr>
          <w:rFonts w:eastAsia="Times New Roman"/>
          <w:b/>
          <w:kern w:val="1"/>
        </w:rPr>
      </w:pPr>
    </w:p>
    <w:p w14:paraId="53A9E826" w14:textId="77777777" w:rsidR="00A70719" w:rsidRDefault="00A70719" w:rsidP="00A70719">
      <w:pPr>
        <w:spacing w:after="0"/>
        <w:rPr>
          <w:rFonts w:eastAsia="Times New Roman"/>
          <w:b/>
          <w:kern w:val="1"/>
        </w:rPr>
      </w:pPr>
    </w:p>
    <w:p w14:paraId="383BD4EB" w14:textId="77777777" w:rsidR="00A70719" w:rsidRPr="00A70719" w:rsidRDefault="00A70719" w:rsidP="00A70719">
      <w:pPr>
        <w:spacing w:after="0"/>
        <w:jc w:val="both"/>
        <w:rPr>
          <w:rFonts w:eastAsia="Times New Roman"/>
          <w:kern w:val="1"/>
        </w:rPr>
      </w:pPr>
    </w:p>
    <w:p w14:paraId="6A64106A" w14:textId="77777777" w:rsidR="00A70719" w:rsidRPr="00A70719" w:rsidRDefault="00A70719" w:rsidP="00A70719">
      <w:pPr>
        <w:shd w:val="clear" w:color="auto" w:fill="000080"/>
        <w:spacing w:after="0"/>
        <w:ind w:right="-68"/>
        <w:rPr>
          <w:rFonts w:eastAsia="Times New Roman"/>
          <w:b/>
          <w:caps/>
          <w:kern w:val="1"/>
        </w:rPr>
      </w:pPr>
      <w:r w:rsidRPr="00A70719">
        <w:rPr>
          <w:rFonts w:eastAsia="Times New Roman"/>
          <w:b/>
          <w:kern w:val="1"/>
        </w:rPr>
        <w:t>I.- OPORTUNIDAD DE LA NORMA</w:t>
      </w:r>
    </w:p>
    <w:p w14:paraId="1BD69292" w14:textId="77777777" w:rsidR="00A70719" w:rsidRPr="00A70719" w:rsidRDefault="00A70719" w:rsidP="00A70719">
      <w:pPr>
        <w:tabs>
          <w:tab w:val="left" w:pos="360"/>
        </w:tabs>
        <w:suppressAutoHyphens/>
        <w:spacing w:after="0"/>
        <w:rPr>
          <w:rFonts w:eastAsia="Times New Roman"/>
          <w:b/>
          <w:kern w:val="1"/>
        </w:rPr>
      </w:pPr>
    </w:p>
    <w:p w14:paraId="11C19946" w14:textId="77777777" w:rsidR="00A70719" w:rsidRPr="00A70719" w:rsidRDefault="00A70719" w:rsidP="00A70719">
      <w:pPr>
        <w:tabs>
          <w:tab w:val="left" w:pos="360"/>
        </w:tabs>
        <w:suppressAutoHyphens/>
        <w:spacing w:after="0"/>
        <w:jc w:val="both"/>
        <w:rPr>
          <w:rFonts w:eastAsia="Times New Roman"/>
          <w:b/>
          <w:bCs/>
          <w:kern w:val="1"/>
          <w:szCs w:val="20"/>
        </w:rPr>
      </w:pPr>
      <w:r w:rsidRPr="00A70719">
        <w:rPr>
          <w:rFonts w:eastAsia="Times New Roman"/>
          <w:b/>
          <w:bCs/>
          <w:kern w:val="1"/>
          <w:szCs w:val="20"/>
        </w:rPr>
        <w:t>1.- MOTIVACIÓN</w:t>
      </w:r>
    </w:p>
    <w:p w14:paraId="4B21C8AD" w14:textId="77777777" w:rsidR="00A70719" w:rsidRPr="00A70719" w:rsidRDefault="00A70719" w:rsidP="00A70719">
      <w:pPr>
        <w:tabs>
          <w:tab w:val="left" w:pos="360"/>
        </w:tabs>
        <w:suppressAutoHyphens/>
        <w:spacing w:after="0"/>
        <w:jc w:val="both"/>
        <w:rPr>
          <w:rFonts w:eastAsia="Times New Roman"/>
          <w:b/>
          <w:bCs/>
          <w:kern w:val="1"/>
          <w:szCs w:val="20"/>
        </w:rPr>
      </w:pPr>
    </w:p>
    <w:p w14:paraId="6A1C822A" w14:textId="15C0219B"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 xml:space="preserve">En España existe actualmente una amplia variedad de medios de identificación digital, surgidos para responder a distintas necesidades a lo largo del tiempo. Su uso está muy extendido entre la ciudadanía y la demanda continúa creciendo de forma sostenida. No obstante, esta diversidad genera incertidumbre en el ciudadano al no saber con certeza qué medio elegir para identificase en una empresa o </w:t>
      </w:r>
      <w:r w:rsidR="006E36E7" w:rsidRPr="00222CB8">
        <w:rPr>
          <w:rFonts w:eastAsia="Calibri"/>
          <w:szCs w:val="20"/>
          <w:lang w:eastAsia="en-US"/>
        </w:rPr>
        <w:t xml:space="preserve">ante una </w:t>
      </w:r>
      <w:r w:rsidRPr="00222CB8">
        <w:rPr>
          <w:rFonts w:eastAsia="Calibri"/>
          <w:szCs w:val="20"/>
          <w:lang w:eastAsia="en-US"/>
        </w:rPr>
        <w:t>administración pública o si existe un medio de identificación más adecuado frente a otros. Además, se da la situación de que estos medios de identificación únicamente son válidos en España, con la sola excepción del DNI electrónico, cuyo uso transfronterizo es limitado y se circunscribe casi exclusivamente al sector público.</w:t>
      </w:r>
    </w:p>
    <w:p w14:paraId="62BA85FC" w14:textId="77777777"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 xml:space="preserve">En este contexto, aparece clara la necesidad de disponer de un medio de identidad digital armonizado a nivel europeo, con validez transfronteriza, con los más altos requisitos de seguridad y privacidad, que sea el mismo en todos los Estados miembro y que se utilice indistintamente para acceder a productos y servicios del sector privado y para relacionarse con las administraciones públicas. </w:t>
      </w:r>
    </w:p>
    <w:p w14:paraId="28B2F0A3" w14:textId="03AF2767"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 xml:space="preserve">Además, en este nuevo marco, la identidad abarca también las conocidas como </w:t>
      </w:r>
      <w:r w:rsidR="00213F01" w:rsidRPr="00222CB8">
        <w:rPr>
          <w:rFonts w:eastAsia="Calibri"/>
          <w:szCs w:val="20"/>
          <w:lang w:eastAsia="en-US"/>
        </w:rPr>
        <w:t xml:space="preserve">declaraciones </w:t>
      </w:r>
      <w:r w:rsidRPr="00222CB8">
        <w:rPr>
          <w:rFonts w:eastAsia="Calibri"/>
          <w:szCs w:val="20"/>
          <w:lang w:eastAsia="en-US"/>
        </w:rPr>
        <w:t xml:space="preserve">electrónicas de atributos (títulos universitarios, tarjetas sanitarias o licencias entre muchos otros), las cuales se encontrarán en poder del propio ciudadano y podrán ser reconocidas como válidas en toda la Unión Europea, llevando de forma armonizada la identidad digital a una dimensión muy superior a la actual. </w:t>
      </w:r>
    </w:p>
    <w:p w14:paraId="73C659C1" w14:textId="77777777"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Sin duda, este importante impulso a la identidad digital proveerá a los ciudadanos de un claro medio universal de identificación digital, de manera segura y manteniendo el control de sus datos personales. También ofrecerá a las empresas españolas (especialmente PYMES), un marco que reducirá los costes operativos de identificación de clientes gracias a confiar en una identidad digital armonizada y de nivel "alto".</w:t>
      </w:r>
    </w:p>
    <w:p w14:paraId="1B6E3854" w14:textId="77777777"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La motivación de este Real Decreto se basa en la necesidad urgente de institucionalizar el ecosistema nacional de soberanía digital que permita adoptar este nuevo sistema de identidad digital con las máximas garantías de seguridad, privacidad, protección de datos y control de los datos por parte del usuario.</w:t>
      </w:r>
    </w:p>
    <w:p w14:paraId="6E73A1B0" w14:textId="77777777" w:rsidR="00A70719" w:rsidRPr="00222CB8" w:rsidRDefault="00A70719" w:rsidP="00A70719">
      <w:pPr>
        <w:tabs>
          <w:tab w:val="left" w:pos="360"/>
        </w:tabs>
        <w:spacing w:after="0"/>
        <w:ind w:firstLine="709"/>
        <w:jc w:val="both"/>
        <w:rPr>
          <w:rFonts w:eastAsia="Calibri"/>
          <w:szCs w:val="20"/>
          <w:lang w:eastAsia="en-US"/>
        </w:rPr>
      </w:pPr>
    </w:p>
    <w:p w14:paraId="650EDF76" w14:textId="77777777"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 xml:space="preserve">Asimismo, el marco legal de esta iniciativa se circunscribe al Reglamento </w:t>
      </w:r>
      <w:proofErr w:type="spellStart"/>
      <w:r w:rsidRPr="00222CB8">
        <w:rPr>
          <w:rFonts w:eastAsia="Calibri"/>
          <w:szCs w:val="20"/>
          <w:lang w:eastAsia="en-US"/>
        </w:rPr>
        <w:t>eIDAS</w:t>
      </w:r>
      <w:proofErr w:type="spellEnd"/>
      <w:r w:rsidRPr="00222CB8">
        <w:rPr>
          <w:rFonts w:eastAsia="Calibri"/>
          <w:szCs w:val="20"/>
          <w:lang w:eastAsia="en-US"/>
        </w:rPr>
        <w:t xml:space="preserve"> (Reglamento (UE) 910/2014 del Parlamento Europeo y del Consejo, de 23 de julio de 2014, relativo a la identificación electrónica y los servicios de confianza para las transacciones electrónicas en el mercado interior), el cual ha sido objeto de una profunda modificación mediante la adopción en 2024 del Reglamento (UE) 2024/1183 del Parlamento Europeo y del Consejo, de 11 de abril de 2024, por el que se modifica el Reglamento (UE) 910/2014 en lo que respecta al establecimiento del nuevo marco europeo de identidad digital, conocido como Reglamento eIDAS2.</w:t>
      </w:r>
    </w:p>
    <w:p w14:paraId="069F9BE5" w14:textId="77777777" w:rsidR="00A70719" w:rsidRPr="00222CB8" w:rsidRDefault="00A70719" w:rsidP="00A70719">
      <w:pPr>
        <w:tabs>
          <w:tab w:val="left" w:pos="360"/>
        </w:tabs>
        <w:spacing w:after="0"/>
        <w:ind w:firstLine="709"/>
        <w:jc w:val="both"/>
        <w:rPr>
          <w:rFonts w:eastAsia="Calibri"/>
          <w:szCs w:val="20"/>
          <w:lang w:eastAsia="en-US"/>
        </w:rPr>
      </w:pPr>
    </w:p>
    <w:p w14:paraId="342C547E" w14:textId="77777777"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 xml:space="preserve">El Reglamento eIDAS2 establece un nuevo marco europeo de identidad digital (MEID, en adelante) para garantizar que la ciudadanía y las empresas puedan identificarse electrónicamente de manera segura en toda la Unión Europea y acceder y prestar servicios digitales de confianza, independientemente de cuál sea su Estado miembro de origen. </w:t>
      </w:r>
    </w:p>
    <w:p w14:paraId="23B2375F" w14:textId="77777777" w:rsidR="00A70719" w:rsidRPr="00222CB8" w:rsidRDefault="00A70719" w:rsidP="00A70719">
      <w:pPr>
        <w:tabs>
          <w:tab w:val="left" w:pos="360"/>
        </w:tabs>
        <w:spacing w:after="0"/>
        <w:ind w:firstLine="709"/>
        <w:jc w:val="both"/>
        <w:rPr>
          <w:rFonts w:eastAsia="Calibri"/>
          <w:szCs w:val="20"/>
          <w:lang w:eastAsia="en-US"/>
        </w:rPr>
      </w:pPr>
    </w:p>
    <w:p w14:paraId="070309F0" w14:textId="5D1E411A"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Asimismo, el Reglamento eIDAS2 incorpora como novedad la regulación de la cartera europea de identidad digital</w:t>
      </w:r>
      <w:r w:rsidR="006E36E7" w:rsidRPr="00222CB8">
        <w:rPr>
          <w:rFonts w:eastAsia="Calibri"/>
          <w:szCs w:val="20"/>
          <w:lang w:eastAsia="en-US"/>
        </w:rPr>
        <w:t xml:space="preserve"> (CEID)</w:t>
      </w:r>
      <w:r w:rsidR="006E36E7" w:rsidRPr="00222CB8">
        <w:rPr>
          <w:rStyle w:val="Refdenotaalpie"/>
          <w:rFonts w:eastAsia="Calibri"/>
          <w:szCs w:val="20"/>
          <w:lang w:eastAsia="en-US"/>
        </w:rPr>
        <w:footnoteReference w:id="3"/>
      </w:r>
      <w:r w:rsidRPr="00222CB8">
        <w:rPr>
          <w:rFonts w:eastAsia="Calibri"/>
          <w:szCs w:val="20"/>
          <w:lang w:eastAsia="en-US"/>
        </w:rPr>
        <w:t xml:space="preserve"> que constituye el primer medio de identidad digital común en la Unión y que permitirá a ciudadanos y empresas acreditar su identidad de manera digital y almacenar y compartir de forma segura en cualquier Estado miembro declaraciones electrónicas de atributos (comúnmente conocidas como “Credenciales Digitales”) como permisos de circulación, titulaciones académicas, tarjetas sanitarias, etc. La interoperabilidad, la seguridad y la protección de datos personales son pilares esenciales de este nuevo ecosistema de identidad.</w:t>
      </w:r>
    </w:p>
    <w:p w14:paraId="1AA0E82C" w14:textId="77777777" w:rsidR="00A70719" w:rsidRPr="00222CB8" w:rsidRDefault="00A70719" w:rsidP="00A70719">
      <w:pPr>
        <w:tabs>
          <w:tab w:val="left" w:pos="360"/>
        </w:tabs>
        <w:spacing w:after="0"/>
        <w:ind w:firstLine="709"/>
        <w:jc w:val="both"/>
        <w:rPr>
          <w:rFonts w:eastAsia="Calibri"/>
          <w:szCs w:val="20"/>
          <w:lang w:eastAsia="en-US"/>
        </w:rPr>
      </w:pPr>
    </w:p>
    <w:p w14:paraId="29F7AB5D" w14:textId="16A7A7B4"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La utilización de la cartera europea de identidad digital será voluntaria para la ciudadanía, sin perjuicio de que todos los Estados miembros estarán obligados a ofrecer como mínimo una cartera europea de identidad digital, no más tarde de</w:t>
      </w:r>
      <w:r w:rsidR="006E36E7" w:rsidRPr="00222CB8">
        <w:rPr>
          <w:rFonts w:eastAsia="Calibri"/>
          <w:szCs w:val="20"/>
          <w:lang w:eastAsia="en-US"/>
        </w:rPr>
        <w:t>l 24 de</w:t>
      </w:r>
      <w:r w:rsidRPr="00222CB8">
        <w:rPr>
          <w:rFonts w:eastAsia="Calibri"/>
          <w:szCs w:val="20"/>
          <w:lang w:eastAsia="en-US"/>
        </w:rPr>
        <w:t xml:space="preserve"> diciembre de 2026. </w:t>
      </w:r>
    </w:p>
    <w:p w14:paraId="1D75DE49" w14:textId="77777777" w:rsidR="00A70719" w:rsidRPr="00222CB8" w:rsidRDefault="00A70719" w:rsidP="00A70719">
      <w:pPr>
        <w:tabs>
          <w:tab w:val="left" w:pos="360"/>
        </w:tabs>
        <w:spacing w:after="0"/>
        <w:ind w:firstLine="709"/>
        <w:jc w:val="both"/>
        <w:rPr>
          <w:rFonts w:eastAsia="Times New Roman" w:cs="Times New Roman"/>
          <w:szCs w:val="20"/>
          <w:lang w:val="es-ES_tradnl"/>
        </w:rPr>
      </w:pPr>
    </w:p>
    <w:p w14:paraId="4DDD65A5" w14:textId="77777777"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Una de las funciones esenciales para el funcionamiento del nuevo MEID es la garantía de la correspondencia transfronteriza de la identidad de las personas físicas. Para dar cumplimiento a estas obligaciones, y en consonancia con el respeto a la organización interna de cada Estado miembro, resulta necesario establecer a nivel nacional las entidades responsables de desarrollar e implantar una solución común que permita realizar dicha correspondencia transfronteriza de forma segura, escalable e integrada en los sistemas públicos existentes.</w:t>
      </w:r>
    </w:p>
    <w:p w14:paraId="41913D96" w14:textId="77777777" w:rsidR="00A70719" w:rsidRPr="00222CB8" w:rsidRDefault="00A70719" w:rsidP="00A70719">
      <w:pPr>
        <w:tabs>
          <w:tab w:val="left" w:pos="360"/>
        </w:tabs>
        <w:spacing w:after="0"/>
        <w:ind w:firstLine="709"/>
        <w:jc w:val="both"/>
        <w:rPr>
          <w:rFonts w:eastAsia="Calibri"/>
          <w:szCs w:val="20"/>
          <w:lang w:eastAsia="en-US"/>
        </w:rPr>
      </w:pPr>
    </w:p>
    <w:p w14:paraId="7BF48ABD" w14:textId="6CB472D6"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El Reglamento eIDAS2 prevé la obligación de aceptación de las carteras europeas de identidad digital como medio de identificación en servicios públicos, organizaciones privadas y plataformas en línea de muy gran tamaño. Así, en el primer caso, el acceso a un servicio en línea proporcionado por un órgano, organismo o entidad del sector público que requiera identificación y autenticación electrónicas debe habilitarse mediante cualquier cartera europea de identidad digital reconocida en alguno de los Estados miembros. Por su parte, las organizaciones privadas (que no tengan la condición de micro ni pequeñas empresas) que estén obligadas por normativa nacional o de la Unión a utilizar autenticación fuerte para la identificación en línea, o cuando esta sea exigida por contrato, deberán aceptar la cartera a solicitud del usuario (esto aplica, entre otras, a las que intervengan en los sectores del transporte, energía, banca, servicios financieros, seguridad social, salud, agua potable, servicios postales, infraestructura digital, educación o telecomunicaciones). Por último, cuando las Plataformas en línea de muy gran tamaño definidas como tales en el Reglamento de Servicios Digitales</w:t>
      </w:r>
      <w:r w:rsidR="006E36E7" w:rsidRPr="00222CB8">
        <w:rPr>
          <w:rStyle w:val="Refdenotaalpie"/>
          <w:rFonts w:eastAsia="Calibri"/>
          <w:szCs w:val="20"/>
          <w:lang w:eastAsia="en-US"/>
        </w:rPr>
        <w:footnoteReference w:id="4"/>
      </w:r>
      <w:r w:rsidRPr="00222CB8">
        <w:rPr>
          <w:rFonts w:eastAsia="Calibri"/>
          <w:szCs w:val="20"/>
          <w:lang w:eastAsia="en-US"/>
        </w:rPr>
        <w:t xml:space="preserve"> requieran autenticación de usuario para acceder a servicios en línea, deberán también aceptar y facilitar el uso de la cartera cuando estos lo soliciten voluntariamente y con sujeción al principio de minimización de datos. </w:t>
      </w:r>
    </w:p>
    <w:p w14:paraId="6F7B8066" w14:textId="77777777" w:rsidR="00A70719" w:rsidRPr="00222CB8" w:rsidRDefault="00A70719" w:rsidP="00A70719">
      <w:pPr>
        <w:tabs>
          <w:tab w:val="left" w:pos="360"/>
        </w:tabs>
        <w:spacing w:after="0"/>
        <w:ind w:firstLine="709"/>
        <w:jc w:val="both"/>
        <w:rPr>
          <w:rFonts w:eastAsia="Calibri"/>
          <w:szCs w:val="20"/>
          <w:lang w:eastAsia="en-US"/>
        </w:rPr>
      </w:pPr>
    </w:p>
    <w:p w14:paraId="6FF9C01D" w14:textId="77777777"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 xml:space="preserve">España ha manifestado un fuerte compromiso con la transformación digital, situando la identidad digital como una herramienta estratégica al servicio de la ciudadanía, las empresas y las </w:t>
      </w:r>
      <w:r w:rsidRPr="00222CB8">
        <w:rPr>
          <w:rFonts w:eastAsia="Calibri"/>
          <w:szCs w:val="20"/>
          <w:lang w:eastAsia="en-US"/>
        </w:rPr>
        <w:lastRenderedPageBreak/>
        <w:t xml:space="preserve">administraciones públicas. Ejemplo de este compromiso es el puesto que España ocupa en el </w:t>
      </w:r>
      <w:proofErr w:type="spellStart"/>
      <w:r w:rsidRPr="00222CB8">
        <w:rPr>
          <w:rFonts w:eastAsia="Calibri"/>
          <w:szCs w:val="20"/>
          <w:lang w:eastAsia="en-US"/>
        </w:rPr>
        <w:t>eGovernment</w:t>
      </w:r>
      <w:proofErr w:type="spellEnd"/>
      <w:r w:rsidRPr="00222CB8">
        <w:rPr>
          <w:rFonts w:eastAsia="Calibri"/>
          <w:szCs w:val="20"/>
          <w:lang w:eastAsia="en-US"/>
        </w:rPr>
        <w:t xml:space="preserve"> </w:t>
      </w:r>
      <w:proofErr w:type="spellStart"/>
      <w:r w:rsidRPr="00222CB8">
        <w:rPr>
          <w:rFonts w:eastAsia="Calibri"/>
          <w:szCs w:val="20"/>
          <w:lang w:eastAsia="en-US"/>
        </w:rPr>
        <w:t>Development</w:t>
      </w:r>
      <w:proofErr w:type="spellEnd"/>
      <w:r w:rsidRPr="00222CB8">
        <w:rPr>
          <w:rFonts w:eastAsia="Calibri"/>
          <w:szCs w:val="20"/>
          <w:lang w:eastAsia="en-US"/>
        </w:rPr>
        <w:t xml:space="preserve"> </w:t>
      </w:r>
      <w:proofErr w:type="spellStart"/>
      <w:r w:rsidRPr="00222CB8">
        <w:rPr>
          <w:rFonts w:eastAsia="Calibri"/>
          <w:szCs w:val="20"/>
          <w:lang w:eastAsia="en-US"/>
        </w:rPr>
        <w:t>Index</w:t>
      </w:r>
      <w:proofErr w:type="spellEnd"/>
      <w:r w:rsidRPr="00222CB8">
        <w:rPr>
          <w:rFonts w:eastAsia="Calibri"/>
          <w:szCs w:val="20"/>
          <w:lang w:eastAsia="en-US"/>
        </w:rPr>
        <w:t xml:space="preserve"> de la Organización de las Naciones Unidas (ONU), situándose en el número 17.º a nivel mundial. Este índice presenta el estado del desarrollo del gobierno electrónico en los Estados miembros de las Naciones Unidas en el ámbito de la prestación de servicios en línea, la conectividad de telecomunicaciones y la capacidad humana.</w:t>
      </w:r>
    </w:p>
    <w:p w14:paraId="5B4C0A80" w14:textId="77777777" w:rsidR="00A70719" w:rsidRPr="00222CB8" w:rsidRDefault="00A70719" w:rsidP="00A70719">
      <w:pPr>
        <w:tabs>
          <w:tab w:val="left" w:pos="360"/>
        </w:tabs>
        <w:spacing w:after="0"/>
        <w:ind w:firstLine="709"/>
        <w:jc w:val="both"/>
        <w:rPr>
          <w:rFonts w:eastAsia="Calibri"/>
          <w:szCs w:val="20"/>
          <w:lang w:eastAsia="en-US"/>
        </w:rPr>
      </w:pPr>
    </w:p>
    <w:p w14:paraId="0F3BB4FB" w14:textId="053A6726"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 xml:space="preserve">Esta voluntad y compromiso se concreta en la Estrategia España Digital 2026, cuya </w:t>
      </w:r>
      <w:r w:rsidR="006E36E7" w:rsidRPr="00222CB8">
        <w:rPr>
          <w:rFonts w:eastAsia="Calibri"/>
          <w:szCs w:val="20"/>
          <w:lang w:eastAsia="en-US"/>
        </w:rPr>
        <w:t>m</w:t>
      </w:r>
      <w:r w:rsidRPr="00222CB8">
        <w:rPr>
          <w:rFonts w:eastAsia="Calibri"/>
          <w:szCs w:val="20"/>
          <w:lang w:eastAsia="en-US"/>
        </w:rPr>
        <w:t>edida 18 prevé el desarrollo de una Administración orientada a la ciudadanía y, en particular, la provisión de servicios digitales personalizados, seguros e interoperables. El proyecto Cartera Digital nacional se enmarca en el Plan de Digitalización de las Administraciones Públicas 2021-2025, concretamente en su medida 4, destinada al impulso de un nuevo modelo de identidad digital.</w:t>
      </w:r>
    </w:p>
    <w:p w14:paraId="009ACAEB" w14:textId="77777777" w:rsidR="00A70719" w:rsidRPr="00222CB8" w:rsidRDefault="00A70719" w:rsidP="00A70719">
      <w:pPr>
        <w:tabs>
          <w:tab w:val="left" w:pos="360"/>
        </w:tabs>
        <w:spacing w:after="0"/>
        <w:ind w:firstLine="709"/>
        <w:jc w:val="both"/>
        <w:rPr>
          <w:rFonts w:eastAsia="Calibri"/>
          <w:szCs w:val="20"/>
          <w:lang w:eastAsia="en-US"/>
        </w:rPr>
      </w:pPr>
    </w:p>
    <w:p w14:paraId="4D6742A8" w14:textId="77777777"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El nuevo MEID crea una serie de nuevos roles y responsabilidades a la vez que actualiza las competencias de los roles existentes de provisión, supervisión, certificación y gobernanza. Por ello se requiere de una implementación coordinada por parte de los Estados miembros, requiriendo que estos provean de recursos e infraestructuras adecuadas para cumplir con las disposiciones del Reglamento.</w:t>
      </w:r>
    </w:p>
    <w:p w14:paraId="0D750419" w14:textId="77777777" w:rsidR="00A70719" w:rsidRPr="00222CB8" w:rsidRDefault="00A70719" w:rsidP="00A70719">
      <w:pPr>
        <w:tabs>
          <w:tab w:val="left" w:pos="360"/>
        </w:tabs>
        <w:spacing w:after="0"/>
        <w:ind w:firstLine="709"/>
        <w:jc w:val="both"/>
        <w:rPr>
          <w:rFonts w:eastAsia="Calibri"/>
          <w:szCs w:val="20"/>
          <w:lang w:eastAsia="en-US"/>
        </w:rPr>
      </w:pPr>
    </w:p>
    <w:p w14:paraId="5D2AE296" w14:textId="77777777"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 xml:space="preserve">A tal fin, resulta necesario definir con claridad en el ordenamiento jurídico nacional los actores involucrados, sus competencias y los mecanismos de coordinación que aseguren el correcto funcionamiento de la implementación nacional en el contexto del marco europeo. Este real decreto contribuye a este objetivo, estableciendo la estructura de gobernanza nacional para la aplicación del Reglamento </w:t>
      </w:r>
      <w:proofErr w:type="spellStart"/>
      <w:r w:rsidRPr="00222CB8">
        <w:rPr>
          <w:rFonts w:eastAsia="Calibri"/>
          <w:szCs w:val="20"/>
          <w:lang w:eastAsia="en-US"/>
        </w:rPr>
        <w:t>eIDAS</w:t>
      </w:r>
      <w:proofErr w:type="spellEnd"/>
      <w:r w:rsidRPr="00222CB8">
        <w:rPr>
          <w:rFonts w:eastAsia="Calibri"/>
          <w:szCs w:val="20"/>
          <w:lang w:eastAsia="en-US"/>
        </w:rPr>
        <w:t>, tras su modificación por el eIDAS2, respetando el marco normativo vigente en los distintos ámbitos afectados.</w:t>
      </w:r>
    </w:p>
    <w:p w14:paraId="51437479" w14:textId="77777777" w:rsidR="00A70719" w:rsidRPr="00222CB8" w:rsidRDefault="00A70719" w:rsidP="00A70719">
      <w:pPr>
        <w:tabs>
          <w:tab w:val="left" w:pos="360"/>
        </w:tabs>
        <w:spacing w:after="0"/>
        <w:ind w:firstLine="709"/>
        <w:jc w:val="both"/>
        <w:rPr>
          <w:rFonts w:eastAsia="Calibri"/>
          <w:szCs w:val="20"/>
          <w:lang w:eastAsia="en-US"/>
        </w:rPr>
      </w:pPr>
    </w:p>
    <w:p w14:paraId="23D839F3" w14:textId="77777777"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En este contexto, corresponde a la Agencia Estatal de Administración Digital, en virtud de lo dispuesto en su Estatuto, aprobado por el Real Decreto 1118/2024, de 5 de noviembre, la responsabilidad de liderar la transformación digital del sector público, coordinar la implantación de las estrategias nacionales e internacionales en materia de administración digital, así como actuar como entidad de referencia en el diseño y despliegue de servicios digitales transversales, interoperables y centrados en la ciudadanía.</w:t>
      </w:r>
    </w:p>
    <w:p w14:paraId="3933D9A6" w14:textId="77777777" w:rsidR="00A70719" w:rsidRPr="00222CB8" w:rsidRDefault="00A70719" w:rsidP="00A70719">
      <w:pPr>
        <w:tabs>
          <w:tab w:val="left" w:pos="360"/>
        </w:tabs>
        <w:spacing w:after="0"/>
        <w:ind w:firstLine="709"/>
        <w:jc w:val="both"/>
        <w:rPr>
          <w:rFonts w:eastAsia="Calibri"/>
          <w:szCs w:val="20"/>
          <w:lang w:eastAsia="en-US"/>
        </w:rPr>
      </w:pPr>
    </w:p>
    <w:p w14:paraId="15317BE4" w14:textId="61A66743" w:rsidR="00A70719" w:rsidRPr="00222CB8" w:rsidRDefault="00A70719" w:rsidP="00A70719">
      <w:pPr>
        <w:tabs>
          <w:tab w:val="left" w:pos="360"/>
        </w:tabs>
        <w:spacing w:after="0"/>
        <w:ind w:firstLine="709"/>
        <w:jc w:val="both"/>
        <w:rPr>
          <w:rFonts w:eastAsia="Times New Roman" w:cs="Times New Roman"/>
          <w:szCs w:val="20"/>
          <w:lang w:val="es-ES_tradnl"/>
        </w:rPr>
      </w:pPr>
      <w:r w:rsidRPr="00222CB8">
        <w:rPr>
          <w:rFonts w:eastAsia="Calibri"/>
          <w:szCs w:val="20"/>
          <w:lang w:eastAsia="en-US"/>
        </w:rPr>
        <w:t xml:space="preserve">El Reglamento </w:t>
      </w:r>
      <w:proofErr w:type="spellStart"/>
      <w:r w:rsidRPr="00222CB8">
        <w:rPr>
          <w:rFonts w:eastAsia="Calibri"/>
          <w:szCs w:val="20"/>
          <w:lang w:eastAsia="en-US"/>
        </w:rPr>
        <w:t>eIDAS</w:t>
      </w:r>
      <w:proofErr w:type="spellEnd"/>
      <w:r w:rsidRPr="00222CB8">
        <w:rPr>
          <w:rFonts w:eastAsia="Calibri"/>
          <w:szCs w:val="20"/>
          <w:lang w:eastAsia="en-US"/>
        </w:rPr>
        <w:t xml:space="preserve"> prioriza la privacidad de los datos personales y el control del usuario sobre la información compartida, en plena consonancia con los principios establecidos en el Reglamento General de Protección de Datos</w:t>
      </w:r>
      <w:r w:rsidR="006E36E7" w:rsidRPr="00222CB8">
        <w:rPr>
          <w:rStyle w:val="Refdenotaalpie"/>
          <w:rFonts w:eastAsia="Calibri"/>
          <w:szCs w:val="20"/>
          <w:lang w:eastAsia="en-US"/>
        </w:rPr>
        <w:footnoteReference w:id="5"/>
      </w:r>
      <w:r w:rsidRPr="00222CB8">
        <w:rPr>
          <w:rFonts w:eastAsia="Calibri"/>
          <w:szCs w:val="20"/>
          <w:lang w:eastAsia="en-US"/>
        </w:rPr>
        <w:t>, por ello este real decreto cumple las previsiones de dicho Reglamento, así como con la Ley Orgánica 3/2018, de 5 de diciembre, de Protección de Datos Personales y garantía de los derechos digitales.</w:t>
      </w:r>
    </w:p>
    <w:p w14:paraId="266A915A" w14:textId="77777777" w:rsidR="00A70719" w:rsidRPr="00222CB8" w:rsidRDefault="00A70719" w:rsidP="00A70719">
      <w:pPr>
        <w:tabs>
          <w:tab w:val="left" w:pos="360"/>
        </w:tabs>
        <w:spacing w:after="0"/>
        <w:ind w:firstLine="709"/>
        <w:jc w:val="both"/>
        <w:rPr>
          <w:rFonts w:eastAsia="Calibri"/>
          <w:szCs w:val="20"/>
          <w:lang w:eastAsia="en-US"/>
        </w:rPr>
      </w:pPr>
    </w:p>
    <w:p w14:paraId="6156F406" w14:textId="16796503" w:rsidR="00A70719" w:rsidRPr="00222CB8" w:rsidRDefault="00A70719" w:rsidP="00A70719">
      <w:pPr>
        <w:tabs>
          <w:tab w:val="left" w:pos="360"/>
        </w:tabs>
        <w:spacing w:after="0"/>
        <w:ind w:firstLine="709"/>
        <w:jc w:val="both"/>
        <w:rPr>
          <w:rFonts w:eastAsia="Calibri"/>
          <w:szCs w:val="20"/>
          <w:lang w:eastAsia="en-US"/>
        </w:rPr>
      </w:pPr>
      <w:r w:rsidRPr="00222CB8">
        <w:rPr>
          <w:rFonts w:eastAsia="Times New Roman"/>
          <w:kern w:val="1"/>
          <w:szCs w:val="20"/>
          <w:lang w:eastAsia="en-US"/>
        </w:rPr>
        <w:t xml:space="preserve">Dado que el marco general de servicios de confianza e identificación electrónica ya está integrado en el derecho nacional, este </w:t>
      </w:r>
      <w:r w:rsidR="006E36E7" w:rsidRPr="00222CB8">
        <w:rPr>
          <w:rFonts w:eastAsia="Times New Roman"/>
          <w:kern w:val="1"/>
          <w:szCs w:val="20"/>
          <w:lang w:eastAsia="en-US"/>
        </w:rPr>
        <w:t>r</w:t>
      </w:r>
      <w:r w:rsidRPr="00222CB8">
        <w:rPr>
          <w:rFonts w:eastAsia="Times New Roman"/>
          <w:kern w:val="1"/>
          <w:szCs w:val="20"/>
          <w:lang w:eastAsia="en-US"/>
        </w:rPr>
        <w:t xml:space="preserve">eal </w:t>
      </w:r>
      <w:r w:rsidR="006E36E7" w:rsidRPr="00222CB8">
        <w:rPr>
          <w:rFonts w:eastAsia="Times New Roman"/>
          <w:kern w:val="1"/>
          <w:szCs w:val="20"/>
          <w:lang w:eastAsia="en-US"/>
        </w:rPr>
        <w:t>d</w:t>
      </w:r>
      <w:r w:rsidRPr="00222CB8">
        <w:rPr>
          <w:rFonts w:eastAsia="Times New Roman"/>
          <w:kern w:val="1"/>
          <w:szCs w:val="20"/>
          <w:lang w:eastAsia="en-US"/>
        </w:rPr>
        <w:t xml:space="preserve">ecreto se limita a designar formalmente a las autoridades competentes exigidas por el nuevo marco europeo: la AEAD (Punto de contacto y Proveedor estatal), la DGOSDCA (Supervisión), el CCN (Certificación) o la ENAC (Acreditación). La norma solventa así la falta de una arquitectura administrativa nacional que garantice la interoperabilidad transfronteriza y el nivel de seguridad </w:t>
      </w:r>
      <w:r w:rsidR="006E36E7" w:rsidRPr="00222CB8">
        <w:rPr>
          <w:rFonts w:eastAsia="Times New Roman"/>
          <w:kern w:val="1"/>
          <w:szCs w:val="20"/>
          <w:lang w:eastAsia="en-US"/>
        </w:rPr>
        <w:t>“</w:t>
      </w:r>
      <w:r w:rsidRPr="00222CB8">
        <w:rPr>
          <w:rFonts w:eastAsia="Times New Roman"/>
          <w:kern w:val="1"/>
          <w:szCs w:val="20"/>
          <w:lang w:eastAsia="en-US"/>
        </w:rPr>
        <w:t>alto</w:t>
      </w:r>
      <w:r w:rsidR="006E36E7" w:rsidRPr="00222CB8">
        <w:rPr>
          <w:rFonts w:eastAsia="Times New Roman"/>
          <w:kern w:val="1"/>
          <w:szCs w:val="20"/>
          <w:lang w:eastAsia="en-US"/>
        </w:rPr>
        <w:t>”</w:t>
      </w:r>
      <w:r w:rsidRPr="00222CB8">
        <w:rPr>
          <w:rFonts w:eastAsia="Times New Roman"/>
          <w:kern w:val="1"/>
          <w:szCs w:val="20"/>
          <w:lang w:eastAsia="en-US"/>
        </w:rPr>
        <w:t xml:space="preserve"> de la Cartera, sin extenderse a otras responsabilidades del Reglamento </w:t>
      </w:r>
      <w:r w:rsidRPr="00222CB8">
        <w:rPr>
          <w:rFonts w:eastAsia="Times New Roman"/>
          <w:kern w:val="1"/>
          <w:szCs w:val="20"/>
          <w:lang w:eastAsia="en-US"/>
        </w:rPr>
        <w:lastRenderedPageBreak/>
        <w:t>(UE) 910/2014 ya reguladas por la Ley 6/2020</w:t>
      </w:r>
      <w:r w:rsidR="00213F01" w:rsidRPr="00222CB8">
        <w:rPr>
          <w:rFonts w:eastAsia="Times New Roman"/>
          <w:kern w:val="1"/>
          <w:szCs w:val="20"/>
          <w:lang w:eastAsia="en-US"/>
        </w:rPr>
        <w:t>, de 11 de noviembre, reguladora de determinados aspectos de los servicios electrónicos de confianza.</w:t>
      </w:r>
    </w:p>
    <w:p w14:paraId="5FDC6B36" w14:textId="77777777" w:rsidR="00A70719" w:rsidRPr="00222CB8" w:rsidRDefault="00A70719" w:rsidP="00A70719">
      <w:pPr>
        <w:tabs>
          <w:tab w:val="left" w:pos="360"/>
        </w:tabs>
        <w:suppressAutoHyphens/>
        <w:spacing w:after="0"/>
        <w:jc w:val="both"/>
        <w:rPr>
          <w:rFonts w:eastAsia="Times New Roman"/>
          <w:b/>
          <w:bCs/>
          <w:kern w:val="1"/>
          <w:szCs w:val="20"/>
        </w:rPr>
      </w:pPr>
    </w:p>
    <w:p w14:paraId="4A301A1E" w14:textId="77777777" w:rsidR="0048285C" w:rsidRPr="00222CB8" w:rsidRDefault="0048285C" w:rsidP="00A70719">
      <w:pPr>
        <w:tabs>
          <w:tab w:val="left" w:pos="360"/>
        </w:tabs>
        <w:suppressAutoHyphens/>
        <w:spacing w:after="0"/>
        <w:jc w:val="both"/>
        <w:rPr>
          <w:rFonts w:eastAsia="Times New Roman"/>
          <w:b/>
          <w:bCs/>
          <w:kern w:val="1"/>
          <w:szCs w:val="20"/>
        </w:rPr>
      </w:pPr>
    </w:p>
    <w:p w14:paraId="2609D913" w14:textId="77777777" w:rsidR="00A70719" w:rsidRPr="00222CB8" w:rsidRDefault="00A70719" w:rsidP="00A70719">
      <w:pPr>
        <w:tabs>
          <w:tab w:val="left" w:pos="360"/>
        </w:tabs>
        <w:suppressAutoHyphens/>
        <w:spacing w:after="0"/>
        <w:jc w:val="both"/>
        <w:rPr>
          <w:rFonts w:eastAsia="Times New Roman"/>
          <w:b/>
          <w:bCs/>
          <w:kern w:val="1"/>
          <w:szCs w:val="20"/>
        </w:rPr>
      </w:pPr>
      <w:r w:rsidRPr="00222CB8">
        <w:rPr>
          <w:rFonts w:eastAsia="Times New Roman"/>
          <w:b/>
          <w:bCs/>
          <w:kern w:val="1"/>
          <w:szCs w:val="20"/>
        </w:rPr>
        <w:t>2.-OBJETIVOS</w:t>
      </w:r>
    </w:p>
    <w:p w14:paraId="62D97B4D" w14:textId="77777777" w:rsidR="00A70719" w:rsidRPr="00222CB8" w:rsidRDefault="00A70719" w:rsidP="00A70719">
      <w:pPr>
        <w:tabs>
          <w:tab w:val="left" w:pos="360"/>
        </w:tabs>
        <w:suppressAutoHyphens/>
        <w:spacing w:after="0"/>
        <w:jc w:val="both"/>
        <w:rPr>
          <w:rFonts w:eastAsia="Times New Roman"/>
          <w:b/>
          <w:kern w:val="1"/>
          <w:szCs w:val="20"/>
        </w:rPr>
      </w:pPr>
    </w:p>
    <w:p w14:paraId="4C5C2B2A" w14:textId="77777777" w:rsidR="00A70719" w:rsidRPr="00222CB8" w:rsidRDefault="00A70719" w:rsidP="00A70719">
      <w:pPr>
        <w:tabs>
          <w:tab w:val="left" w:pos="360"/>
        </w:tabs>
        <w:spacing w:after="0"/>
        <w:ind w:firstLine="709"/>
        <w:jc w:val="both"/>
        <w:rPr>
          <w:rFonts w:eastAsia="Calibri"/>
          <w:szCs w:val="20"/>
          <w:lang w:eastAsia="en-US"/>
        </w:rPr>
      </w:pPr>
      <w:r w:rsidRPr="00222CB8">
        <w:rPr>
          <w:rFonts w:eastAsia="Calibri"/>
          <w:szCs w:val="20"/>
          <w:lang w:eastAsia="en-US"/>
        </w:rPr>
        <w:t>La norma persigue un objetivo general consistente en establecer la estructura de gobernanza y las autoridades competentes para el despliegue en España de un medio de identificación electrónica de nivel de seguridad "alto", garantizando la interoperabilidad transfronteriza y el control exclusivo del ciudadano sobre su identidad digital.</w:t>
      </w:r>
    </w:p>
    <w:p w14:paraId="06F0BD35" w14:textId="77777777" w:rsidR="00A70719" w:rsidRPr="00222CB8" w:rsidRDefault="00A70719" w:rsidP="00A70719">
      <w:pPr>
        <w:tabs>
          <w:tab w:val="left" w:pos="360"/>
        </w:tabs>
        <w:spacing w:after="0"/>
        <w:ind w:firstLine="709"/>
        <w:jc w:val="both"/>
        <w:rPr>
          <w:rFonts w:eastAsia="Calibri"/>
          <w:szCs w:val="20"/>
          <w:lang w:eastAsia="en-US"/>
        </w:rPr>
      </w:pPr>
    </w:p>
    <w:p w14:paraId="5C9750A7" w14:textId="77777777" w:rsidR="00A70719" w:rsidRPr="00222CB8" w:rsidRDefault="00A70719" w:rsidP="00A70719">
      <w:pPr>
        <w:tabs>
          <w:tab w:val="left" w:pos="360"/>
        </w:tabs>
        <w:spacing w:after="0"/>
        <w:jc w:val="both"/>
        <w:rPr>
          <w:rFonts w:eastAsia="Calibri"/>
          <w:szCs w:val="20"/>
          <w:lang w:eastAsia="en-US"/>
        </w:rPr>
      </w:pPr>
      <w:r w:rsidRPr="00222CB8">
        <w:rPr>
          <w:rFonts w:eastAsia="Calibri"/>
          <w:szCs w:val="20"/>
          <w:lang w:eastAsia="en-US"/>
        </w:rPr>
        <w:tab/>
        <w:t>Este objetivo general se concreta en unos objetivos específicos y unos medios para lograrlos:</w:t>
      </w:r>
    </w:p>
    <w:p w14:paraId="33FDEB90" w14:textId="77777777" w:rsidR="00A70719" w:rsidRPr="00222CB8" w:rsidRDefault="00A70719" w:rsidP="00A70719">
      <w:pPr>
        <w:tabs>
          <w:tab w:val="left" w:pos="360"/>
        </w:tabs>
        <w:spacing w:after="0"/>
        <w:jc w:val="both"/>
        <w:rPr>
          <w:rFonts w:eastAsia="Calibri"/>
          <w:szCs w:val="20"/>
          <w:lang w:eastAsia="en-US"/>
        </w:rPr>
      </w:pPr>
    </w:p>
    <w:p w14:paraId="2F42C56F" w14:textId="77777777" w:rsidR="00A70719" w:rsidRPr="00222CB8" w:rsidRDefault="00A70719" w:rsidP="00A70719">
      <w:pPr>
        <w:numPr>
          <w:ilvl w:val="0"/>
          <w:numId w:val="33"/>
        </w:numPr>
        <w:tabs>
          <w:tab w:val="left" w:pos="360"/>
        </w:tabs>
        <w:spacing w:after="0"/>
        <w:jc w:val="both"/>
        <w:rPr>
          <w:rFonts w:eastAsia="Calibri"/>
          <w:szCs w:val="20"/>
          <w:u w:val="single"/>
          <w:lang w:eastAsia="en-US"/>
        </w:rPr>
      </w:pPr>
      <w:r w:rsidRPr="00222CB8">
        <w:rPr>
          <w:rFonts w:eastAsia="Calibri"/>
          <w:szCs w:val="20"/>
          <w:u w:val="single"/>
          <w:lang w:eastAsia="en-US"/>
        </w:rPr>
        <w:t>Institucionalizar la Gobernanza Nacional del Ecosistema</w:t>
      </w:r>
    </w:p>
    <w:p w14:paraId="2F9D1029" w14:textId="77777777" w:rsidR="00A70719" w:rsidRPr="00222CB8" w:rsidRDefault="00A70719" w:rsidP="00A70719">
      <w:pPr>
        <w:numPr>
          <w:ilvl w:val="0"/>
          <w:numId w:val="27"/>
        </w:numPr>
        <w:tabs>
          <w:tab w:val="left" w:pos="360"/>
        </w:tabs>
        <w:spacing w:after="0"/>
        <w:jc w:val="both"/>
        <w:rPr>
          <w:rFonts w:eastAsia="Calibri"/>
          <w:szCs w:val="20"/>
          <w:lang w:eastAsia="en-US"/>
        </w:rPr>
      </w:pPr>
      <w:r w:rsidRPr="00222CB8">
        <w:rPr>
          <w:rFonts w:eastAsia="Calibri"/>
          <w:szCs w:val="20"/>
          <w:lang w:eastAsia="en-US"/>
        </w:rPr>
        <w:t>Objetivo: Designar y coordinar a las autoridades competentes para evitar vacíos normativos y garantizar una supervisión eficaz de los servicios de identidad digital.</w:t>
      </w:r>
    </w:p>
    <w:p w14:paraId="3781D0C2" w14:textId="77777777" w:rsidR="00A70719" w:rsidRPr="00222CB8" w:rsidRDefault="00A70719" w:rsidP="00A70719">
      <w:pPr>
        <w:numPr>
          <w:ilvl w:val="0"/>
          <w:numId w:val="27"/>
        </w:numPr>
        <w:tabs>
          <w:tab w:val="left" w:pos="360"/>
        </w:tabs>
        <w:spacing w:after="0"/>
        <w:jc w:val="both"/>
        <w:rPr>
          <w:rFonts w:eastAsia="Calibri"/>
          <w:szCs w:val="20"/>
          <w:lang w:eastAsia="en-US"/>
        </w:rPr>
      </w:pPr>
      <w:r w:rsidRPr="00222CB8">
        <w:rPr>
          <w:rFonts w:eastAsia="Calibri"/>
          <w:szCs w:val="20"/>
          <w:lang w:eastAsia="en-US"/>
        </w:rPr>
        <w:t>Medio: Atribución de roles específicos a la DGOSDCA (Supervisión), AEAD (Punto de contacto y Registro), CCN (Certificación) y ENAC (Acreditación).</w:t>
      </w:r>
    </w:p>
    <w:p w14:paraId="0A32707B" w14:textId="77777777" w:rsidR="00A70719" w:rsidRPr="00222CB8" w:rsidRDefault="00A70719" w:rsidP="00A70719">
      <w:pPr>
        <w:numPr>
          <w:ilvl w:val="0"/>
          <w:numId w:val="33"/>
        </w:numPr>
        <w:tabs>
          <w:tab w:val="left" w:pos="360"/>
        </w:tabs>
        <w:spacing w:after="0"/>
        <w:jc w:val="both"/>
        <w:rPr>
          <w:rFonts w:eastAsia="Calibri"/>
          <w:szCs w:val="20"/>
          <w:u w:val="single"/>
          <w:lang w:eastAsia="en-US"/>
        </w:rPr>
      </w:pPr>
      <w:r w:rsidRPr="00222CB8">
        <w:rPr>
          <w:rFonts w:eastAsia="Calibri"/>
          <w:szCs w:val="20"/>
          <w:u w:val="single"/>
          <w:lang w:eastAsia="en-US"/>
        </w:rPr>
        <w:t>Garantizar la Correspondencia Transfronteriza de la Identidad</w:t>
      </w:r>
    </w:p>
    <w:p w14:paraId="4C11D588" w14:textId="77777777" w:rsidR="00A70719" w:rsidRPr="00222CB8" w:rsidRDefault="00A70719" w:rsidP="00A70719">
      <w:pPr>
        <w:numPr>
          <w:ilvl w:val="0"/>
          <w:numId w:val="28"/>
        </w:numPr>
        <w:tabs>
          <w:tab w:val="left" w:pos="360"/>
        </w:tabs>
        <w:spacing w:after="0"/>
        <w:jc w:val="both"/>
        <w:rPr>
          <w:rFonts w:eastAsia="Calibri"/>
          <w:szCs w:val="20"/>
          <w:lang w:eastAsia="en-US"/>
        </w:rPr>
      </w:pPr>
      <w:r w:rsidRPr="00222CB8">
        <w:rPr>
          <w:rFonts w:eastAsia="Calibri"/>
          <w:szCs w:val="20"/>
          <w:lang w:eastAsia="en-US"/>
        </w:rPr>
        <w:t>Objetivo: Asegurar que los ciudadanos y residentes europeos puedan ser identificados de forma unívoca e inequívoca en cualquier otro Estado miembro de la UE al realizar trámites públicos transfronterizos.</w:t>
      </w:r>
    </w:p>
    <w:p w14:paraId="63399ABF" w14:textId="77777777" w:rsidR="00A70719" w:rsidRPr="00222CB8" w:rsidRDefault="00A70719" w:rsidP="00A70719">
      <w:pPr>
        <w:numPr>
          <w:ilvl w:val="0"/>
          <w:numId w:val="28"/>
        </w:numPr>
        <w:tabs>
          <w:tab w:val="left" w:pos="360"/>
        </w:tabs>
        <w:spacing w:after="0"/>
        <w:jc w:val="both"/>
        <w:rPr>
          <w:rFonts w:eastAsia="Calibri"/>
          <w:szCs w:val="20"/>
          <w:lang w:eastAsia="en-US"/>
        </w:rPr>
      </w:pPr>
      <w:r w:rsidRPr="00222CB8">
        <w:rPr>
          <w:rFonts w:eastAsia="Calibri"/>
          <w:szCs w:val="20"/>
          <w:lang w:eastAsia="en-US"/>
        </w:rPr>
        <w:t>Medio: Mandato conjunto a la AEAD, la AEAT y la Dirección General de la Policía para el diseño y mantenimiento de la solución técnica de correspondencia de identidad.</w:t>
      </w:r>
    </w:p>
    <w:p w14:paraId="33F27125" w14:textId="77777777" w:rsidR="00A70719" w:rsidRPr="00222CB8" w:rsidRDefault="00A70719" w:rsidP="00A70719">
      <w:pPr>
        <w:numPr>
          <w:ilvl w:val="0"/>
          <w:numId w:val="33"/>
        </w:numPr>
        <w:tabs>
          <w:tab w:val="left" w:pos="360"/>
        </w:tabs>
        <w:spacing w:after="0"/>
        <w:jc w:val="both"/>
        <w:rPr>
          <w:rFonts w:eastAsia="Calibri"/>
          <w:szCs w:val="20"/>
          <w:u w:val="single"/>
          <w:lang w:eastAsia="en-US"/>
        </w:rPr>
      </w:pPr>
      <w:r w:rsidRPr="00222CB8">
        <w:rPr>
          <w:rFonts w:eastAsia="Calibri"/>
          <w:szCs w:val="20"/>
          <w:u w:val="single"/>
          <w:lang w:eastAsia="en-US"/>
        </w:rPr>
        <w:t>Fomentar la Soberanía Digital y el Control del Usuario</w:t>
      </w:r>
    </w:p>
    <w:p w14:paraId="76EB7786" w14:textId="77777777" w:rsidR="00A70719" w:rsidRPr="00222CB8" w:rsidRDefault="00A70719" w:rsidP="00A70719">
      <w:pPr>
        <w:numPr>
          <w:ilvl w:val="0"/>
          <w:numId w:val="29"/>
        </w:numPr>
        <w:tabs>
          <w:tab w:val="left" w:pos="360"/>
        </w:tabs>
        <w:spacing w:after="0"/>
        <w:jc w:val="both"/>
        <w:rPr>
          <w:rFonts w:eastAsia="Calibri"/>
          <w:szCs w:val="20"/>
          <w:lang w:eastAsia="en-US"/>
        </w:rPr>
      </w:pPr>
      <w:r w:rsidRPr="00222CB8">
        <w:rPr>
          <w:rFonts w:eastAsia="Calibri"/>
          <w:szCs w:val="20"/>
          <w:lang w:eastAsia="en-US"/>
        </w:rPr>
        <w:t>Objetivo: Devolver al ciudadano el control exclusivo sobre sus datos personales, permitiéndole elegir qué información comparte y con quién, eliminando el perfilado por parte de terceros.</w:t>
      </w:r>
    </w:p>
    <w:p w14:paraId="42553CC7" w14:textId="77777777" w:rsidR="00A70719" w:rsidRPr="00222CB8" w:rsidRDefault="00A70719" w:rsidP="00A70719">
      <w:pPr>
        <w:numPr>
          <w:ilvl w:val="0"/>
          <w:numId w:val="29"/>
        </w:numPr>
        <w:tabs>
          <w:tab w:val="left" w:pos="360"/>
        </w:tabs>
        <w:spacing w:after="0"/>
        <w:jc w:val="both"/>
        <w:rPr>
          <w:rFonts w:eastAsia="Calibri"/>
          <w:szCs w:val="20"/>
          <w:lang w:eastAsia="en-US"/>
        </w:rPr>
      </w:pPr>
      <w:r w:rsidRPr="00222CB8">
        <w:rPr>
          <w:rFonts w:eastAsia="Calibri"/>
          <w:szCs w:val="20"/>
          <w:lang w:eastAsia="en-US"/>
        </w:rPr>
        <w:t>Medio: Implementación técnica del panel común en la cartera y exigencia de separación lógica de datos entre el proveedor y otros servicios.</w:t>
      </w:r>
    </w:p>
    <w:p w14:paraId="5B0963C0" w14:textId="77777777" w:rsidR="00A70719" w:rsidRPr="00222CB8" w:rsidRDefault="00A70719" w:rsidP="00A70719">
      <w:pPr>
        <w:numPr>
          <w:ilvl w:val="0"/>
          <w:numId w:val="33"/>
        </w:numPr>
        <w:tabs>
          <w:tab w:val="left" w:pos="360"/>
        </w:tabs>
        <w:spacing w:after="0"/>
        <w:jc w:val="both"/>
        <w:rPr>
          <w:rFonts w:eastAsia="Calibri"/>
          <w:szCs w:val="20"/>
          <w:u w:val="single"/>
          <w:lang w:eastAsia="en-US"/>
        </w:rPr>
      </w:pPr>
      <w:r w:rsidRPr="00222CB8">
        <w:rPr>
          <w:rFonts w:eastAsia="Calibri"/>
          <w:szCs w:val="20"/>
          <w:u w:val="single"/>
          <w:lang w:eastAsia="en-US"/>
        </w:rPr>
        <w:t>Impulsar la Transformación Digital de los Sectores Privados Críticos</w:t>
      </w:r>
    </w:p>
    <w:p w14:paraId="1244A534" w14:textId="77777777" w:rsidR="00A70719" w:rsidRPr="00222CB8" w:rsidRDefault="00A70719" w:rsidP="00A70719">
      <w:pPr>
        <w:numPr>
          <w:ilvl w:val="0"/>
          <w:numId w:val="30"/>
        </w:numPr>
        <w:tabs>
          <w:tab w:val="left" w:pos="360"/>
        </w:tabs>
        <w:spacing w:after="0"/>
        <w:jc w:val="both"/>
        <w:rPr>
          <w:rFonts w:eastAsia="Calibri"/>
          <w:szCs w:val="20"/>
          <w:lang w:eastAsia="en-US"/>
        </w:rPr>
      </w:pPr>
      <w:r w:rsidRPr="00222CB8">
        <w:rPr>
          <w:rFonts w:eastAsia="Calibri"/>
          <w:szCs w:val="20"/>
          <w:lang w:eastAsia="en-US"/>
        </w:rPr>
        <w:t>Objetivo: Obligar y facilitar la aceptación de la identidad digital en sectores estratégicos para reducir costes de operación y fraude.</w:t>
      </w:r>
    </w:p>
    <w:p w14:paraId="6E82774E" w14:textId="77777777" w:rsidR="00A70719" w:rsidRPr="00222CB8" w:rsidRDefault="00A70719" w:rsidP="00A70719">
      <w:pPr>
        <w:numPr>
          <w:ilvl w:val="0"/>
          <w:numId w:val="30"/>
        </w:numPr>
        <w:tabs>
          <w:tab w:val="left" w:pos="360"/>
        </w:tabs>
        <w:spacing w:after="0"/>
        <w:jc w:val="both"/>
        <w:rPr>
          <w:rFonts w:eastAsia="Calibri"/>
          <w:szCs w:val="20"/>
          <w:lang w:eastAsia="en-US"/>
        </w:rPr>
      </w:pPr>
      <w:r w:rsidRPr="00222CB8">
        <w:rPr>
          <w:rFonts w:eastAsia="Calibri"/>
          <w:szCs w:val="20"/>
          <w:lang w:eastAsia="en-US"/>
        </w:rPr>
        <w:t>Medio: Creación del Registro Nacional de Partes Usuarias y el sistema de autorización de certificados de acceso para entidades privadas.</w:t>
      </w:r>
    </w:p>
    <w:p w14:paraId="1E27ED1D" w14:textId="77777777" w:rsidR="00A70719" w:rsidRPr="00222CB8" w:rsidRDefault="00A70719" w:rsidP="00A70719">
      <w:pPr>
        <w:numPr>
          <w:ilvl w:val="0"/>
          <w:numId w:val="33"/>
        </w:numPr>
        <w:tabs>
          <w:tab w:val="left" w:pos="360"/>
        </w:tabs>
        <w:spacing w:after="0"/>
        <w:jc w:val="both"/>
        <w:rPr>
          <w:rFonts w:eastAsia="Calibri"/>
          <w:szCs w:val="20"/>
          <w:u w:val="single"/>
          <w:lang w:eastAsia="en-US"/>
        </w:rPr>
      </w:pPr>
      <w:r w:rsidRPr="00222CB8">
        <w:rPr>
          <w:rFonts w:eastAsia="Calibri"/>
          <w:szCs w:val="20"/>
          <w:u w:val="single"/>
          <w:lang w:eastAsia="en-US"/>
        </w:rPr>
        <w:t>Habilitar la Plena Validez Legal de las Credenciales Digitales</w:t>
      </w:r>
    </w:p>
    <w:p w14:paraId="7CC03C16" w14:textId="77777777" w:rsidR="00A70719" w:rsidRPr="00222CB8" w:rsidRDefault="00A70719" w:rsidP="00A70719">
      <w:pPr>
        <w:numPr>
          <w:ilvl w:val="0"/>
          <w:numId w:val="31"/>
        </w:numPr>
        <w:tabs>
          <w:tab w:val="left" w:pos="360"/>
        </w:tabs>
        <w:spacing w:after="0"/>
        <w:jc w:val="both"/>
        <w:rPr>
          <w:rFonts w:eastAsia="Calibri"/>
          <w:szCs w:val="20"/>
          <w:lang w:eastAsia="en-US"/>
        </w:rPr>
      </w:pPr>
      <w:r w:rsidRPr="00222CB8">
        <w:rPr>
          <w:rFonts w:eastAsia="Calibri"/>
          <w:szCs w:val="20"/>
          <w:lang w:eastAsia="en-US"/>
        </w:rPr>
        <w:t>Objetivo: Lograr que atributos como títulos universitarios, permisos de conducir o tarjetas sanitarias en formato digital tengan el mismo valor jurídico que sus equivalentes en papel en toda la Unión.</w:t>
      </w:r>
    </w:p>
    <w:p w14:paraId="75CE0DED" w14:textId="77777777" w:rsidR="00A70719" w:rsidRPr="00222CB8" w:rsidRDefault="00A70719" w:rsidP="00A70719">
      <w:pPr>
        <w:numPr>
          <w:ilvl w:val="0"/>
          <w:numId w:val="31"/>
        </w:numPr>
        <w:tabs>
          <w:tab w:val="left" w:pos="360"/>
        </w:tabs>
        <w:spacing w:after="0"/>
        <w:jc w:val="both"/>
        <w:rPr>
          <w:rFonts w:eastAsia="Calibri"/>
          <w:szCs w:val="20"/>
          <w:lang w:eastAsia="en-US"/>
        </w:rPr>
      </w:pPr>
      <w:r w:rsidRPr="00222CB8">
        <w:rPr>
          <w:rFonts w:eastAsia="Calibri"/>
          <w:szCs w:val="20"/>
          <w:lang w:eastAsia="en-US"/>
        </w:rPr>
        <w:t>Medio: Establecimiento de procedimientos de verificación previa para los emisores de atributos (QEAA) y los organismos responsables de fuentes auténticas.</w:t>
      </w:r>
    </w:p>
    <w:p w14:paraId="7CF939B3" w14:textId="77777777" w:rsidR="00A70719" w:rsidRPr="00222CB8" w:rsidRDefault="00A70719" w:rsidP="00A70719">
      <w:pPr>
        <w:numPr>
          <w:ilvl w:val="0"/>
          <w:numId w:val="33"/>
        </w:numPr>
        <w:tabs>
          <w:tab w:val="left" w:pos="360"/>
        </w:tabs>
        <w:spacing w:after="0"/>
        <w:jc w:val="both"/>
        <w:rPr>
          <w:rFonts w:eastAsia="Calibri"/>
          <w:szCs w:val="20"/>
          <w:u w:val="single"/>
          <w:lang w:eastAsia="en-US"/>
        </w:rPr>
      </w:pPr>
      <w:r w:rsidRPr="00222CB8">
        <w:rPr>
          <w:rFonts w:eastAsia="Calibri"/>
          <w:szCs w:val="20"/>
          <w:u w:val="single"/>
          <w:lang w:eastAsia="en-US"/>
        </w:rPr>
        <w:t xml:space="preserve">Asegurar un Nivel de Seguridad "Alto" frente a </w:t>
      </w:r>
      <w:proofErr w:type="spellStart"/>
      <w:r w:rsidRPr="00222CB8">
        <w:rPr>
          <w:rFonts w:eastAsia="Calibri"/>
          <w:szCs w:val="20"/>
          <w:u w:val="single"/>
          <w:lang w:eastAsia="en-US"/>
        </w:rPr>
        <w:t>ciberamenazas</w:t>
      </w:r>
      <w:proofErr w:type="spellEnd"/>
      <w:r w:rsidRPr="00222CB8">
        <w:rPr>
          <w:rFonts w:eastAsia="Calibri"/>
          <w:szCs w:val="20"/>
          <w:u w:val="single"/>
          <w:lang w:eastAsia="en-US"/>
        </w:rPr>
        <w:t>:</w:t>
      </w:r>
    </w:p>
    <w:p w14:paraId="00278AEE" w14:textId="77777777" w:rsidR="00A70719" w:rsidRPr="00222CB8" w:rsidRDefault="00A70719" w:rsidP="00A70719">
      <w:pPr>
        <w:numPr>
          <w:ilvl w:val="0"/>
          <w:numId w:val="32"/>
        </w:numPr>
        <w:tabs>
          <w:tab w:val="left" w:pos="360"/>
        </w:tabs>
        <w:spacing w:after="0"/>
        <w:jc w:val="both"/>
        <w:rPr>
          <w:rFonts w:eastAsia="Calibri"/>
          <w:szCs w:val="20"/>
          <w:lang w:eastAsia="en-US"/>
        </w:rPr>
      </w:pPr>
      <w:r w:rsidRPr="00222CB8">
        <w:rPr>
          <w:rFonts w:eastAsia="Calibri"/>
          <w:szCs w:val="20"/>
          <w:lang w:eastAsia="en-US"/>
        </w:rPr>
        <w:t>Objetivo: Proteger el sistema nacional de identidad contra la usurpación, el robo de datos y los ataques de potencial elevado, garantizando la confianza en las transacciones electrónicas.</w:t>
      </w:r>
    </w:p>
    <w:p w14:paraId="08098C87" w14:textId="77777777" w:rsidR="00A70719" w:rsidRPr="00222CB8" w:rsidRDefault="00A70719" w:rsidP="00A70719">
      <w:pPr>
        <w:numPr>
          <w:ilvl w:val="0"/>
          <w:numId w:val="32"/>
        </w:numPr>
        <w:tabs>
          <w:tab w:val="left" w:pos="360"/>
        </w:tabs>
        <w:spacing w:after="0"/>
        <w:jc w:val="both"/>
        <w:rPr>
          <w:rFonts w:eastAsia="Calibri"/>
          <w:szCs w:val="20"/>
          <w:lang w:eastAsia="en-US"/>
        </w:rPr>
      </w:pPr>
      <w:r w:rsidRPr="00222CB8">
        <w:rPr>
          <w:rFonts w:eastAsia="Calibri"/>
          <w:szCs w:val="20"/>
          <w:lang w:eastAsia="en-US"/>
        </w:rPr>
        <w:t>Medio: Adopción del Esquema Nacional de Certificación liderado por el CCN y requisitos de resistencia técnica certificados por ENAC.</w:t>
      </w:r>
    </w:p>
    <w:p w14:paraId="7160D622" w14:textId="77777777" w:rsidR="00A70719" w:rsidRPr="00222CB8" w:rsidRDefault="00A70719" w:rsidP="00A70719">
      <w:pPr>
        <w:tabs>
          <w:tab w:val="left" w:pos="360"/>
        </w:tabs>
        <w:spacing w:after="0"/>
        <w:ind w:left="720"/>
        <w:jc w:val="both"/>
        <w:rPr>
          <w:rFonts w:eastAsia="Calibri"/>
          <w:szCs w:val="20"/>
          <w:lang w:eastAsia="en-US"/>
        </w:rPr>
      </w:pPr>
    </w:p>
    <w:p w14:paraId="2B03BC52" w14:textId="77777777" w:rsidR="00A70719" w:rsidRPr="00222CB8" w:rsidRDefault="00A70719" w:rsidP="00A70719">
      <w:pPr>
        <w:tabs>
          <w:tab w:val="left" w:pos="360"/>
        </w:tabs>
        <w:spacing w:after="0"/>
        <w:ind w:firstLine="709"/>
        <w:jc w:val="both"/>
        <w:rPr>
          <w:rFonts w:eastAsia="Calibri"/>
          <w:szCs w:val="20"/>
          <w:lang w:eastAsia="en-US"/>
        </w:rPr>
      </w:pPr>
    </w:p>
    <w:p w14:paraId="495C6896" w14:textId="77777777" w:rsidR="00A70719" w:rsidRPr="00222CB8" w:rsidRDefault="00A70719" w:rsidP="00A70719">
      <w:pPr>
        <w:tabs>
          <w:tab w:val="left" w:pos="360"/>
        </w:tabs>
        <w:suppressAutoHyphens/>
        <w:spacing w:after="0"/>
        <w:jc w:val="both"/>
        <w:rPr>
          <w:rFonts w:eastAsia="Times New Roman"/>
          <w:b/>
          <w:bCs/>
          <w:kern w:val="1"/>
          <w:szCs w:val="20"/>
        </w:rPr>
      </w:pPr>
      <w:r w:rsidRPr="00222CB8">
        <w:rPr>
          <w:rFonts w:eastAsia="Times New Roman"/>
          <w:b/>
          <w:bCs/>
          <w:kern w:val="1"/>
          <w:szCs w:val="20"/>
        </w:rPr>
        <w:t>3.- ADECUACIÓN A LOS PRINCIPIOS DE BUENA REGULACIÓN.</w:t>
      </w:r>
    </w:p>
    <w:p w14:paraId="79251150" w14:textId="77777777" w:rsidR="00A70719" w:rsidRPr="00222CB8" w:rsidRDefault="00A70719" w:rsidP="00A70719">
      <w:pPr>
        <w:shd w:val="clear" w:color="auto" w:fill="FFFFFF" w:themeFill="background1"/>
        <w:spacing w:after="0"/>
        <w:contextualSpacing/>
        <w:jc w:val="both"/>
        <w:rPr>
          <w:rFonts w:eastAsia="Times New Roman"/>
          <w:b/>
          <w:bCs/>
          <w:kern w:val="1"/>
          <w:szCs w:val="20"/>
        </w:rPr>
      </w:pPr>
    </w:p>
    <w:p w14:paraId="1E162D90" w14:textId="77777777" w:rsidR="00A70719" w:rsidRPr="00222CB8" w:rsidRDefault="00A70719" w:rsidP="00A70719">
      <w:pPr>
        <w:shd w:val="clear" w:color="auto" w:fill="FFFFFF" w:themeFill="background1"/>
        <w:spacing w:after="0"/>
        <w:ind w:firstLine="709"/>
        <w:contextualSpacing/>
        <w:jc w:val="both"/>
        <w:rPr>
          <w:rFonts w:eastAsia="Times New Roman"/>
          <w:szCs w:val="20"/>
        </w:rPr>
      </w:pPr>
      <w:r w:rsidRPr="00222CB8">
        <w:rPr>
          <w:rFonts w:eastAsia="Times New Roman"/>
          <w:szCs w:val="20"/>
        </w:rPr>
        <w:t xml:space="preserve">El real decreto se ajusta a los principios de buena regulación contenidos en el artículo 129 de la Ley 39/2015, de 1 de octubre (principios de necesidad, eficacia, proporcionalidad, seguridad jurídica, transparencia y eficiencia), en tanto que persigue un interés general al definir el marco básico para el desarrollo del marco europeo de identidad digital, siendo el instrumento que mejor se adecúa a su consecución al establecer la estructura de gobernanza nacional y distribución de funciones para la aplicación del Reglamento </w:t>
      </w:r>
      <w:proofErr w:type="spellStart"/>
      <w:r w:rsidRPr="00222CB8">
        <w:rPr>
          <w:rFonts w:eastAsia="Times New Roman"/>
          <w:szCs w:val="20"/>
        </w:rPr>
        <w:t>eIDAS</w:t>
      </w:r>
      <w:proofErr w:type="spellEnd"/>
      <w:r w:rsidRPr="00222CB8">
        <w:rPr>
          <w:rFonts w:eastAsia="Times New Roman"/>
          <w:szCs w:val="20"/>
        </w:rPr>
        <w:t xml:space="preserve">, tras su modificación por el Reglamento eIDAS2, en cuanto a las carteras europeas de identidad digital, respetando el marco normativo vigente en los distintos ámbitos afectados La norma es acorde con el principio de proporcionalidad al contener la regulación imprescindible para la consecución de los objetivos previamente mencionados. Igualmente, se ajusta al principio de seguridad jurídica, siendo coherente con el resto del ordenamiento jurídico nacional y europeo, estableciéndose un marco normativo estable, integrado y claro. </w:t>
      </w:r>
    </w:p>
    <w:p w14:paraId="53DEBEC2" w14:textId="77777777" w:rsidR="00A70719" w:rsidRPr="00222CB8" w:rsidRDefault="00A70719" w:rsidP="00A70719">
      <w:pPr>
        <w:shd w:val="clear" w:color="auto" w:fill="FFFFFF" w:themeFill="background1"/>
        <w:spacing w:after="0"/>
        <w:ind w:firstLine="709"/>
        <w:contextualSpacing/>
        <w:jc w:val="both"/>
        <w:rPr>
          <w:rFonts w:eastAsia="Times New Roman"/>
          <w:szCs w:val="20"/>
        </w:rPr>
      </w:pPr>
    </w:p>
    <w:p w14:paraId="23490354" w14:textId="77777777" w:rsidR="00A70719" w:rsidRPr="00222CB8" w:rsidRDefault="00A70719" w:rsidP="00A70719">
      <w:pPr>
        <w:shd w:val="clear" w:color="auto" w:fill="FFFFFF" w:themeFill="background1"/>
        <w:spacing w:after="0"/>
        <w:ind w:firstLine="709"/>
        <w:contextualSpacing/>
        <w:jc w:val="both"/>
        <w:rPr>
          <w:rFonts w:eastAsia="Times New Roman"/>
          <w:szCs w:val="20"/>
        </w:rPr>
      </w:pPr>
      <w:r w:rsidRPr="00222CB8">
        <w:rPr>
          <w:rFonts w:eastAsia="Times New Roman"/>
          <w:szCs w:val="20"/>
        </w:rPr>
        <w:t>En cuanto al procedimiento y funcionamiento de las administraciones públicas, el real decreto se ajusta a las previsiones de la Ley 39/2015, de 1 de octubre, del Procedimiento Administrativo Común de las Administraciones Públicas, y de la Ley 40/2015, de 1 de octubre, de Régimen Jurídico del Sector Público y el despliegue y operación electrónica de los servicios públicos debe realizarse conforme a lo dispuesto en el Real Decreto 203/2021, de 30 de marzo, por el que se aprueba el Reglamento de actuación y funcionamiento del sector público por medios electrónicos, que desarrolla ambas leyes en esta materia. Por otra parte, en lo que concierne a la seguridad de la información, las previsiones de este real decreto se atienen a lo dispuesto en el Real Decreto 311/2022, de 3 de mayo, que regula el Esquema Nacional de Seguridad. Por su parte, en lo relativo los servicios electrónicos de confianza relacionados con la cartera, se aplica la Ley 6/2020, de 11 de noviembre, reguladora de determinados aspectos de los servicios electrónicos de confianza. Asimismo, en lo referente a la acreditación de organismos evaluadores de la conformidad, se cumplen las previsiones del Real Decreto 1715/2010, de 17 de diciembre, por el que se designa a la Entidad Nacional de Acreditación (ENAC) como organismo nacional de acreditación en España.</w:t>
      </w:r>
    </w:p>
    <w:p w14:paraId="431161BE" w14:textId="77777777" w:rsidR="00A70719" w:rsidRPr="00222CB8" w:rsidRDefault="00A70719" w:rsidP="00A70719">
      <w:pPr>
        <w:shd w:val="clear" w:color="auto" w:fill="FFFFFF" w:themeFill="background1"/>
        <w:spacing w:after="0"/>
        <w:ind w:firstLine="709"/>
        <w:contextualSpacing/>
        <w:jc w:val="both"/>
        <w:rPr>
          <w:rFonts w:eastAsia="Times New Roman"/>
          <w:szCs w:val="20"/>
        </w:rPr>
      </w:pPr>
    </w:p>
    <w:p w14:paraId="4BF9312A" w14:textId="305F213D" w:rsidR="008F6982" w:rsidRPr="00222CB8" w:rsidRDefault="008F6982" w:rsidP="008F6982">
      <w:pPr>
        <w:ind w:firstLine="709"/>
        <w:jc w:val="both"/>
      </w:pPr>
      <w:r w:rsidRPr="00222CB8">
        <w:t>En lo que concierne al resto de principios de buena regulación contenidos en el artículo 129 de la Ley 39/2015, de 1 de octubre, durante el procedimiento de elaboración de la norma, se ha formalizado</w:t>
      </w:r>
      <w:r w:rsidR="00513025" w:rsidRPr="00222CB8">
        <w:t xml:space="preserve"> </w:t>
      </w:r>
      <w:r w:rsidRPr="00222CB8">
        <w:t xml:space="preserve">el trámite de audiencia pública en cumplimiento del principio de transparencia, quedando además justificados en el preámbulo los objetivos que persigue este real decreto. Por último, en virtud del principio de eficiencia la norma no introduce nuevas cargas administrativas, más aún, podrá suponer su reducción y la mejora en la eficiencia de los recursos públicos en su conjunto al ofrecer una nueva alternativa de identificación digital. </w:t>
      </w:r>
    </w:p>
    <w:p w14:paraId="75575D35" w14:textId="77777777" w:rsidR="00A70719" w:rsidRPr="00222CB8" w:rsidRDefault="00A70719" w:rsidP="00A70719">
      <w:pPr>
        <w:shd w:val="clear" w:color="auto" w:fill="FFFFFF" w:themeFill="background1"/>
        <w:spacing w:after="0"/>
        <w:ind w:firstLine="709"/>
        <w:contextualSpacing/>
        <w:jc w:val="both"/>
        <w:rPr>
          <w:rFonts w:eastAsia="Times New Roman"/>
          <w:szCs w:val="20"/>
        </w:rPr>
      </w:pPr>
    </w:p>
    <w:p w14:paraId="339FB297" w14:textId="77777777" w:rsidR="00A70719" w:rsidRPr="00222CB8" w:rsidRDefault="00A70719" w:rsidP="00A70719">
      <w:pPr>
        <w:shd w:val="clear" w:color="auto" w:fill="FFFFFF" w:themeFill="background1"/>
        <w:spacing w:after="0"/>
        <w:contextualSpacing/>
        <w:jc w:val="both"/>
        <w:rPr>
          <w:rFonts w:eastAsia="Times New Roman"/>
          <w:b/>
          <w:bCs/>
          <w:kern w:val="1"/>
          <w:szCs w:val="20"/>
        </w:rPr>
      </w:pPr>
      <w:r w:rsidRPr="00222CB8">
        <w:rPr>
          <w:rFonts w:eastAsia="Times New Roman"/>
          <w:b/>
          <w:bCs/>
          <w:kern w:val="1"/>
          <w:szCs w:val="20"/>
        </w:rPr>
        <w:t>4.- ALTERNATIVAS</w:t>
      </w:r>
    </w:p>
    <w:p w14:paraId="109319E8" w14:textId="77777777" w:rsidR="00A70719" w:rsidRPr="00222CB8" w:rsidRDefault="00A70719" w:rsidP="00A70719">
      <w:pPr>
        <w:spacing w:after="0"/>
        <w:jc w:val="both"/>
        <w:rPr>
          <w:rFonts w:eastAsia="Times New Roman"/>
          <w:szCs w:val="20"/>
          <w:highlight w:val="yellow"/>
        </w:rPr>
      </w:pPr>
    </w:p>
    <w:p w14:paraId="7655A4F5" w14:textId="77777777" w:rsidR="00A70719" w:rsidRPr="00222CB8" w:rsidRDefault="00A70719" w:rsidP="00A70719">
      <w:pPr>
        <w:tabs>
          <w:tab w:val="left" w:pos="9356"/>
        </w:tabs>
        <w:spacing w:after="0"/>
        <w:ind w:firstLine="709"/>
        <w:contextualSpacing/>
        <w:jc w:val="both"/>
        <w:rPr>
          <w:rFonts w:eastAsia="Times New Roman"/>
          <w:szCs w:val="20"/>
          <w:lang w:eastAsia="en-US"/>
        </w:rPr>
      </w:pPr>
      <w:r w:rsidRPr="00222CB8">
        <w:rPr>
          <w:rFonts w:eastAsia="Times New Roman"/>
          <w:szCs w:val="20"/>
          <w:lang w:eastAsia="en-US"/>
        </w:rPr>
        <w:t xml:space="preserve">Con anterioridad a la modificación del Reglamento (UE) n.º 910/2014, no existía la necesidad de aprobar una norma que regulase estas autoridades. En el año 2024, surge esta nueva necesidad, impuesta por el Reglamento </w:t>
      </w:r>
      <w:proofErr w:type="spellStart"/>
      <w:r w:rsidRPr="00222CB8">
        <w:rPr>
          <w:rFonts w:eastAsia="Times New Roman"/>
          <w:szCs w:val="20"/>
          <w:lang w:eastAsia="en-US"/>
        </w:rPr>
        <w:t>eIDAS</w:t>
      </w:r>
      <w:proofErr w:type="spellEnd"/>
      <w:r w:rsidRPr="00222CB8">
        <w:rPr>
          <w:rFonts w:eastAsia="Times New Roman"/>
          <w:szCs w:val="20"/>
          <w:lang w:eastAsia="en-US"/>
        </w:rPr>
        <w:t xml:space="preserve"> 2 y sus Reglamentos de ejecución. </w:t>
      </w:r>
    </w:p>
    <w:p w14:paraId="4EA63660" w14:textId="77777777" w:rsidR="00A70719" w:rsidRPr="00222CB8" w:rsidRDefault="00A70719" w:rsidP="00A70719">
      <w:pPr>
        <w:tabs>
          <w:tab w:val="left" w:pos="9356"/>
        </w:tabs>
        <w:spacing w:after="0"/>
        <w:contextualSpacing/>
        <w:jc w:val="both"/>
        <w:rPr>
          <w:rFonts w:eastAsia="Times New Roman"/>
          <w:szCs w:val="20"/>
          <w:lang w:eastAsia="en-US"/>
        </w:rPr>
      </w:pPr>
    </w:p>
    <w:p w14:paraId="5980E5F4" w14:textId="77777777" w:rsidR="00A70719" w:rsidRPr="00222CB8" w:rsidRDefault="00A70719" w:rsidP="00A70719">
      <w:pPr>
        <w:tabs>
          <w:tab w:val="left" w:pos="9356"/>
        </w:tabs>
        <w:spacing w:after="0"/>
        <w:ind w:firstLine="709"/>
        <w:contextualSpacing/>
        <w:jc w:val="both"/>
        <w:rPr>
          <w:rFonts w:eastAsia="Times New Roman"/>
          <w:szCs w:val="20"/>
          <w:lang w:eastAsia="en-US"/>
        </w:rPr>
      </w:pPr>
      <w:r w:rsidRPr="00222CB8">
        <w:rPr>
          <w:rFonts w:eastAsia="Times New Roman"/>
          <w:szCs w:val="20"/>
          <w:lang w:eastAsia="en-US"/>
        </w:rPr>
        <w:lastRenderedPageBreak/>
        <w:t>Así, como primer planteamiento, la alternativa cero es la de no tramitar una disposición regulatoria. Sin embargo, ello deja vacío de contenido los requerimientos del reglamento europeo. En este sentido, el reglamento obliga en diversos puntos a disponer de organismos nacionales con funciones específicas (por ejemplo, el artículo 12.bis indica la necesidad de disponer de un organismo de evaluación de los sistemas de identificación electrónica, el artículo 30 se refiere a necesidad de que los Estados miembros designen a los organismos con capacidad para certificar los dispositivos cualificados de creación de firmas, o el artículo 46.bis, que determina que los Estados miembros designarán los organismos de supervisión en su territorio. Por tanto, la alternativa cero se ha de descartar por no cumplir los objetivos).</w:t>
      </w:r>
    </w:p>
    <w:p w14:paraId="41029CC1" w14:textId="77777777" w:rsidR="00A70719" w:rsidRPr="00222CB8" w:rsidRDefault="00A70719" w:rsidP="00A70719">
      <w:pPr>
        <w:tabs>
          <w:tab w:val="left" w:pos="9356"/>
        </w:tabs>
        <w:spacing w:after="0"/>
        <w:ind w:firstLine="709"/>
        <w:contextualSpacing/>
        <w:jc w:val="both"/>
        <w:rPr>
          <w:rFonts w:eastAsia="Times New Roman"/>
          <w:szCs w:val="20"/>
          <w:lang w:eastAsia="en-US"/>
        </w:rPr>
      </w:pPr>
    </w:p>
    <w:p w14:paraId="1C446D29" w14:textId="77777777" w:rsidR="00A70719" w:rsidRPr="00222CB8" w:rsidRDefault="00A70719" w:rsidP="00A70719">
      <w:pPr>
        <w:tabs>
          <w:tab w:val="left" w:pos="9356"/>
        </w:tabs>
        <w:spacing w:after="0"/>
        <w:ind w:firstLine="709"/>
        <w:contextualSpacing/>
        <w:jc w:val="both"/>
        <w:rPr>
          <w:rFonts w:eastAsia="Times New Roman"/>
          <w:szCs w:val="20"/>
          <w:lang w:eastAsia="en-US"/>
        </w:rPr>
      </w:pPr>
      <w:r w:rsidRPr="00222CB8">
        <w:rPr>
          <w:rFonts w:eastAsia="Times New Roman"/>
          <w:szCs w:val="20"/>
          <w:lang w:eastAsia="en-US"/>
        </w:rPr>
        <w:t>Así, la alternativa escogida ha sido la de elaborar una norma específica, que se centre en exclusiva en determinar el ecosistema de la cartera de identidad digital europea en España y que sirva como base para su desarrollo y puesta a disposición de los ciudadanos. De este modo, se proporciona un entorno de certidumbre y seguridad jurídica.</w:t>
      </w:r>
    </w:p>
    <w:p w14:paraId="081C7798" w14:textId="77777777" w:rsidR="00A70719" w:rsidRPr="00222CB8" w:rsidRDefault="00A70719" w:rsidP="00A70719">
      <w:pPr>
        <w:spacing w:after="0"/>
        <w:contextualSpacing/>
        <w:jc w:val="both"/>
        <w:rPr>
          <w:rFonts w:eastAsia="Times New Roman"/>
          <w:kern w:val="1"/>
          <w:szCs w:val="20"/>
          <w:highlight w:val="yellow"/>
          <w:lang w:eastAsia="en-US"/>
        </w:rPr>
      </w:pPr>
    </w:p>
    <w:p w14:paraId="4724B073" w14:textId="77777777" w:rsidR="00A70719" w:rsidRPr="00222CB8" w:rsidRDefault="00A70719" w:rsidP="00A70719">
      <w:pPr>
        <w:shd w:val="clear" w:color="auto" w:fill="FFFFFF" w:themeFill="background1"/>
        <w:spacing w:after="0"/>
        <w:contextualSpacing/>
        <w:jc w:val="both"/>
        <w:rPr>
          <w:rFonts w:eastAsia="Times New Roman"/>
          <w:b/>
          <w:bCs/>
          <w:kern w:val="1"/>
          <w:szCs w:val="20"/>
        </w:rPr>
      </w:pPr>
      <w:r w:rsidRPr="00222CB8">
        <w:rPr>
          <w:rFonts w:eastAsia="Times New Roman"/>
          <w:b/>
          <w:bCs/>
          <w:kern w:val="1"/>
          <w:szCs w:val="20"/>
        </w:rPr>
        <w:t>5.- INCLUSIÓN EN EL PLAN ANUAL NORMATIVO Y EVALUACIÓN EX POST</w:t>
      </w:r>
    </w:p>
    <w:p w14:paraId="65920863" w14:textId="77777777" w:rsidR="00A70719" w:rsidRPr="00222CB8" w:rsidRDefault="00A70719" w:rsidP="00A70719">
      <w:pPr>
        <w:shd w:val="clear" w:color="auto" w:fill="FFFFFF" w:themeFill="background1"/>
        <w:spacing w:after="0"/>
        <w:contextualSpacing/>
        <w:jc w:val="both"/>
        <w:rPr>
          <w:rFonts w:eastAsia="Times New Roman"/>
          <w:b/>
          <w:bCs/>
          <w:kern w:val="1"/>
          <w:szCs w:val="20"/>
          <w:highlight w:val="yellow"/>
          <w:lang w:val="es-ES_tradnl"/>
        </w:rPr>
      </w:pPr>
    </w:p>
    <w:p w14:paraId="2E58AB49" w14:textId="77777777" w:rsidR="00A70719" w:rsidRPr="00222CB8" w:rsidRDefault="00A70719" w:rsidP="00A70719">
      <w:pPr>
        <w:spacing w:after="0"/>
        <w:ind w:firstLine="709"/>
        <w:contextualSpacing/>
        <w:jc w:val="both"/>
        <w:rPr>
          <w:rFonts w:eastAsia="Times New Roman"/>
          <w:kern w:val="1"/>
          <w:szCs w:val="20"/>
          <w:lang w:eastAsia="en-US"/>
        </w:rPr>
      </w:pPr>
      <w:r w:rsidRPr="00222CB8">
        <w:rPr>
          <w:rFonts w:eastAsia="Times New Roman"/>
          <w:szCs w:val="20"/>
          <w:lang w:eastAsia="en-US"/>
        </w:rPr>
        <w:t>Este proyecto de real decreto se ha incluido en el Plan Anual Normativo del Ministerio para la Transformación Digital y de la Función Pública para el año 2026.</w:t>
      </w:r>
    </w:p>
    <w:p w14:paraId="1AAFE9E3" w14:textId="77777777" w:rsidR="00A70719" w:rsidRPr="00A70719" w:rsidRDefault="00A70719" w:rsidP="00A70719">
      <w:pPr>
        <w:spacing w:after="0"/>
        <w:contextualSpacing/>
        <w:jc w:val="both"/>
        <w:rPr>
          <w:rFonts w:eastAsia="Times New Roman"/>
          <w:szCs w:val="20"/>
          <w:highlight w:val="yellow"/>
          <w:lang w:eastAsia="en-US"/>
        </w:rPr>
      </w:pPr>
    </w:p>
    <w:p w14:paraId="69AC5F30" w14:textId="77777777" w:rsidR="00A70719" w:rsidRPr="00A70719" w:rsidRDefault="00A70719" w:rsidP="00A70719">
      <w:pPr>
        <w:shd w:val="clear" w:color="auto" w:fill="000080"/>
        <w:spacing w:after="0"/>
        <w:ind w:right="-68"/>
        <w:jc w:val="both"/>
        <w:rPr>
          <w:rFonts w:eastAsia="Times New Roman"/>
          <w:b/>
          <w:bCs/>
          <w:kern w:val="1"/>
          <w:szCs w:val="20"/>
        </w:rPr>
      </w:pPr>
      <w:r w:rsidRPr="00A70719">
        <w:rPr>
          <w:rFonts w:eastAsia="Times New Roman"/>
          <w:b/>
          <w:bCs/>
          <w:kern w:val="1"/>
          <w:szCs w:val="20"/>
        </w:rPr>
        <w:t xml:space="preserve">II.- CONTENIDO Y ANÁLISIS JURÍDICO </w:t>
      </w:r>
    </w:p>
    <w:p w14:paraId="14CC9759" w14:textId="77777777" w:rsidR="00A70719" w:rsidRPr="00A70719" w:rsidRDefault="00A70719" w:rsidP="00A70719">
      <w:pPr>
        <w:suppressAutoHyphens/>
        <w:autoSpaceDE w:val="0"/>
        <w:autoSpaceDN w:val="0"/>
        <w:adjustRightInd w:val="0"/>
        <w:spacing w:after="0"/>
        <w:jc w:val="both"/>
        <w:rPr>
          <w:rFonts w:eastAsia="Times New Roman"/>
          <w:b/>
          <w:bCs/>
          <w:kern w:val="1"/>
          <w:szCs w:val="20"/>
        </w:rPr>
      </w:pPr>
    </w:p>
    <w:p w14:paraId="07D6DBD2" w14:textId="77777777" w:rsidR="00A70719" w:rsidRPr="00A70719" w:rsidRDefault="00A70719" w:rsidP="00A70719">
      <w:pPr>
        <w:suppressAutoHyphens/>
        <w:autoSpaceDE w:val="0"/>
        <w:autoSpaceDN w:val="0"/>
        <w:adjustRightInd w:val="0"/>
        <w:spacing w:after="0"/>
        <w:jc w:val="both"/>
        <w:rPr>
          <w:rFonts w:eastAsia="Times New Roman"/>
          <w:b/>
          <w:bCs/>
          <w:kern w:val="1"/>
          <w:szCs w:val="20"/>
        </w:rPr>
      </w:pPr>
      <w:r w:rsidRPr="00A70719">
        <w:rPr>
          <w:rFonts w:eastAsia="Times New Roman"/>
          <w:b/>
          <w:bCs/>
          <w:kern w:val="1"/>
          <w:szCs w:val="20"/>
        </w:rPr>
        <w:t xml:space="preserve">1.- CONTENIDO </w:t>
      </w:r>
    </w:p>
    <w:p w14:paraId="58BBBA64" w14:textId="77777777" w:rsidR="00A70719" w:rsidRPr="00A70719" w:rsidRDefault="00A70719" w:rsidP="00A70719">
      <w:pPr>
        <w:suppressAutoHyphens/>
        <w:autoSpaceDE w:val="0"/>
        <w:autoSpaceDN w:val="0"/>
        <w:adjustRightInd w:val="0"/>
        <w:spacing w:after="0"/>
        <w:jc w:val="both"/>
        <w:rPr>
          <w:rFonts w:eastAsia="Times New Roman"/>
          <w:b/>
          <w:bCs/>
          <w:kern w:val="1"/>
          <w:szCs w:val="20"/>
        </w:rPr>
      </w:pPr>
    </w:p>
    <w:p w14:paraId="34EA6386" w14:textId="060657A4" w:rsidR="00A70719" w:rsidRPr="00222CB8" w:rsidRDefault="008F6982" w:rsidP="00A70719">
      <w:pPr>
        <w:ind w:firstLine="709"/>
        <w:jc w:val="both"/>
      </w:pPr>
      <w:bookmarkStart w:id="1" w:name="_Hlk158894200"/>
      <w:r w:rsidRPr="00222CB8">
        <w:t>El real decreto consta de trece artículos distribuidos en cuatro capítulos, tres disposiciones adicionales y tres disposiciones finales</w:t>
      </w:r>
      <w:r w:rsidR="00A70719" w:rsidRPr="00222CB8">
        <w:t xml:space="preserve">. </w:t>
      </w:r>
    </w:p>
    <w:p w14:paraId="1EF8D350" w14:textId="77777777" w:rsidR="00A70719" w:rsidRPr="00222CB8" w:rsidRDefault="00A70719" w:rsidP="00A70719">
      <w:pPr>
        <w:ind w:firstLine="709"/>
        <w:jc w:val="both"/>
      </w:pPr>
      <w:r w:rsidRPr="00222CB8">
        <w:t xml:space="preserve">El primer capítulo, denominado Disposiciones generales, consta de ocho artículos y tras la concreción del objeto de la norma en el artículo 1, atribuye en los siete artículos siguientes los roles de punto de contacto único de las </w:t>
      </w:r>
      <w:r w:rsidRPr="00222CB8">
        <w:rPr>
          <w:bCs/>
        </w:rPr>
        <w:t>carteras</w:t>
      </w:r>
      <w:r w:rsidRPr="00222CB8">
        <w:t xml:space="preserve"> europeas de identidad digital (a la Agencia Estatal de Administración Digital), de organismo nacional de supervisión del marco de la cartera europea de identidad digital (a la Dirección General de Ordenación de los Servicios de Digitalización y de Comunicación Audiovisual del Ministerio para la Transformación Digital y de la Función Pública, en adelante, DGOSDCA), de propietario del esquema de certificación nacional de la cartera europea de identidad digital y el sistema de identificación electrónica con arreglo al cual se proporciona</w:t>
      </w:r>
      <w:r w:rsidRPr="00222CB8">
        <w:rPr>
          <w:rFonts w:eastAsia="Times New Roman" w:cs="Times New Roman"/>
          <w:szCs w:val="20"/>
          <w:lang w:val="es-ES_tradnl"/>
        </w:rPr>
        <w:t xml:space="preserve"> (al </w:t>
      </w:r>
      <w:r w:rsidRPr="00222CB8">
        <w:t>Centro Criptológico Nacional, CCN, en adelante), de organismo nacional de acreditación de los organismos de evaluación de la conformidad (a la Entidad Nacional de Acreditación, ENAC, en adelante), de proveedor nacional de la cartera europea de identidad digital del Estado (a la AEAD) y de proveedores de datos de identidad de la persona (que podrá designar el Ministerio para la Transformación Digital y de la Función Pública). Por último, el real decreto establece que el diseño, desarrollo, despliegue y mantenimiento de la solución que permita garantizar la correspondencia transfronteriza de la identidad de las personas físicas se llevará a cabo por la AEAD, la AEAT y la Dirección General de la Policía, que responderán de su respectivo ámbito de actuación sobre la misma.</w:t>
      </w:r>
    </w:p>
    <w:p w14:paraId="4ACF706A" w14:textId="77777777" w:rsidR="00A70719" w:rsidRPr="00222CB8" w:rsidRDefault="00A70719" w:rsidP="00A70719">
      <w:pPr>
        <w:ind w:firstLine="709"/>
        <w:jc w:val="both"/>
      </w:pPr>
      <w:r w:rsidRPr="00222CB8">
        <w:t xml:space="preserve">Por su parte, el Capítulo II, relativo a la certificación e información de la cartera europea de identidad digital del Estado, consta de dos artículos. El primero de ellos regula la certificación de la cartera europea de identidad digital del Estado y el sistema de identificación electrónica con arreglo </w:t>
      </w:r>
      <w:r w:rsidRPr="00222CB8">
        <w:lastRenderedPageBreak/>
        <w:t>al cual se proporciona, que se llevará a cabo por el CCN (una vez acreditado por la ENAC) a petición de la AEAD. En el marco del proceso de certificación, las auditorías y pruebas funcionales, técnicas y de seguridad se podrán llevar a cabo, a petición del CCN, por uno o varios laboratorios acreditados por la ENAC, cuyos informes de evaluación servirán de base para la emisión por el CCN y la información sobre la cartera. Por su parte, el artículo 10</w:t>
      </w:r>
      <w:r w:rsidRPr="00222CB8">
        <w:rPr>
          <w:rFonts w:eastAsia="Times New Roman" w:cs="Times New Roman"/>
          <w:szCs w:val="20"/>
          <w:lang w:val="es-ES_tradnl"/>
        </w:rPr>
        <w:t xml:space="preserve"> atribuye a la </w:t>
      </w:r>
      <w:r w:rsidRPr="00222CB8">
        <w:t xml:space="preserve">DGOSDCA, en su condición de organismo de supervisión nacional, la obligación de </w:t>
      </w:r>
      <w:r w:rsidRPr="00222CB8">
        <w:rPr>
          <w:rFonts w:eastAsia="Times New Roman" w:cs="Times New Roman"/>
          <w:szCs w:val="20"/>
          <w:lang w:val="es-ES_tradnl"/>
        </w:rPr>
        <w:t>i</w:t>
      </w:r>
      <w:proofErr w:type="spellStart"/>
      <w:r w:rsidRPr="00222CB8">
        <w:t>nformar</w:t>
      </w:r>
      <w:proofErr w:type="spellEnd"/>
      <w:r w:rsidRPr="00222CB8">
        <w:t xml:space="preserve"> sobre la cartera europea de identidad digital certificada a la Comisión</w:t>
      </w:r>
      <w:r w:rsidRPr="00222CB8">
        <w:rPr>
          <w:rFonts w:eastAsia="Times New Roman" w:cs="Times New Roman"/>
          <w:szCs w:val="20"/>
          <w:lang w:val="es-ES_tradnl"/>
        </w:rPr>
        <w:t xml:space="preserve"> </w:t>
      </w:r>
      <w:r w:rsidRPr="00222CB8">
        <w:t xml:space="preserve">y al Grupo de Cooperación establecido de acuerdo con el artículo 46 </w:t>
      </w:r>
      <w:proofErr w:type="spellStart"/>
      <w:r w:rsidRPr="00222CB8">
        <w:t>sexies</w:t>
      </w:r>
      <w:proofErr w:type="spellEnd"/>
      <w:r w:rsidRPr="00222CB8">
        <w:t xml:space="preserve">, apartado 1 del Reglamento </w:t>
      </w:r>
      <w:proofErr w:type="spellStart"/>
      <w:r w:rsidRPr="00222CB8">
        <w:t>eIDAS</w:t>
      </w:r>
      <w:proofErr w:type="spellEnd"/>
      <w:r w:rsidRPr="00222CB8">
        <w:t>, y los requisitos previos para hacerlo.</w:t>
      </w:r>
    </w:p>
    <w:p w14:paraId="1AAF7D44" w14:textId="329540C5" w:rsidR="008F6982" w:rsidRPr="00222CB8" w:rsidRDefault="008F6982" w:rsidP="00A70719">
      <w:pPr>
        <w:ind w:firstLine="709"/>
        <w:jc w:val="both"/>
      </w:pPr>
      <w:r w:rsidRPr="00222CB8">
        <w:t>E</w:t>
      </w:r>
      <w:r w:rsidR="00A70719" w:rsidRPr="00222CB8">
        <w:t xml:space="preserve">l Capítulo III, relativo a las partes usuarias de las </w:t>
      </w:r>
      <w:r w:rsidR="00A70719" w:rsidRPr="00222CB8">
        <w:rPr>
          <w:bCs/>
        </w:rPr>
        <w:t>carteras</w:t>
      </w:r>
      <w:r w:rsidR="00A70719" w:rsidRPr="00222CB8">
        <w:t xml:space="preserve"> europeas de identidad digital, consta de dos artículos que regulan, respectivamente, el Registro nacional de partes usuarias de las </w:t>
      </w:r>
      <w:r w:rsidR="00A70719" w:rsidRPr="00222CB8">
        <w:rPr>
          <w:bCs/>
        </w:rPr>
        <w:t>carteras</w:t>
      </w:r>
      <w:r w:rsidR="00A70719" w:rsidRPr="00222CB8">
        <w:t xml:space="preserve"> y la provisión de certificados de acceso y de certificados de registro de parte usuaria de la cartera. Con relación al Registro</w:t>
      </w:r>
      <w:r w:rsidR="002A7692" w:rsidRPr="00222CB8">
        <w:t xml:space="preserve"> nacional de partes usuarias</w:t>
      </w:r>
      <w:r w:rsidR="00A70719" w:rsidRPr="00222CB8">
        <w:t xml:space="preserve">, </w:t>
      </w:r>
      <w:r w:rsidR="002A7692" w:rsidRPr="00222CB8">
        <w:t xml:space="preserve">creado y regulado en el artículo 11, </w:t>
      </w:r>
      <w:r w:rsidR="00A70719" w:rsidRPr="00222CB8">
        <w:rPr>
          <w:strike/>
        </w:rPr>
        <w:t xml:space="preserve">es </w:t>
      </w:r>
      <w:r w:rsidR="00A70719" w:rsidRPr="00222CB8">
        <w:t>la AEAD</w:t>
      </w:r>
      <w:r w:rsidR="002A7692" w:rsidRPr="00222CB8">
        <w:t xml:space="preserve"> es su responsable y en dicha condición asume su gobernanza y gestión funcional y técnica. E</w:t>
      </w:r>
      <w:r w:rsidR="00A70719" w:rsidRPr="00222CB8">
        <w:t xml:space="preserve">n él se inscribirán las partes usuarias establecidas en territorio nacional que tengan previsto utilizar las carteras europeas de identidad digital autorizadas en nuestro país o en otros Estados miembros de la Unión Europea, para prestar servicios públicos o privados mediante una interacción digital. </w:t>
      </w:r>
      <w:r w:rsidR="002A7692" w:rsidRPr="00222CB8">
        <w:t>La inscripción de una parte usuaria en el Registro tendrá vigencia indefinida en tanto no haya sido suspendida o se haya procedido a su cancelación</w:t>
      </w:r>
    </w:p>
    <w:p w14:paraId="36F5B6DC" w14:textId="551851AD" w:rsidR="002A7692" w:rsidRPr="00222CB8" w:rsidRDefault="002A7692" w:rsidP="00A70719">
      <w:pPr>
        <w:ind w:firstLine="709"/>
        <w:jc w:val="both"/>
      </w:pPr>
      <w:r w:rsidRPr="00222CB8">
        <w:t xml:space="preserve">Asimismo, de acuerdo con lo previsto en el artículo 14.3 de la Ley 39/2015, de 1 de octubre, y el artículo 3.3 del Reglamento de actuación y funcionamiento del sector público por medios electrónicos, aprobado por el Real Decreto 203/2021, de 30 de marzo, en el apartado 3 de este artículo 11 se establece la obligatoriedad de relacionarse exclusivamente por medios electrónicos para todas las personas físicas en sus actuaciones relativas al Registro. Esta obligatoriedad se fundamenta en la capacidad técnica y dedicación profesional requerida para operar como parte usuaria en el ecosistema de identidad digital, así como en el mandato de los artículos 6.1 y 7 del Reglamento de Ejecución (UE) 2025/848, de 6 de mayo, que exige a los registradores establecer procesos de registro “en línea” y “electrónicos”. </w:t>
      </w:r>
    </w:p>
    <w:p w14:paraId="5B3F526F" w14:textId="67671E3A" w:rsidR="002A7692" w:rsidRPr="00222CB8" w:rsidRDefault="002A7692" w:rsidP="00A70719">
      <w:pPr>
        <w:ind w:firstLine="709"/>
        <w:jc w:val="both"/>
      </w:pPr>
      <w:r w:rsidRPr="00222CB8">
        <w:t xml:space="preserve">Por último, el apartado 8 de este artículo 11 establece que por orden de la persona titular del Ministerio para la Transformación Digital y de la Función Pública se regularán los requisitos y condiciones para el funcionamiento del Registro y el procedimiento de inscripción, modificación, suspensión y cancelación de sus asientos, en desarrollo de lo previsto en el artículo 5.ter del Reglamento (UE) </w:t>
      </w:r>
      <w:proofErr w:type="spellStart"/>
      <w:r w:rsidRPr="00222CB8">
        <w:t>Nº</w:t>
      </w:r>
      <w:proofErr w:type="spellEnd"/>
      <w:r w:rsidRPr="00222CB8">
        <w:t xml:space="preserve"> 910/2014, el Reglamento de Ejecución (UE) 2025/848, modificado por el Reglamento de Ejecución (UE) 2026/1730 y en este real decreto</w:t>
      </w:r>
    </w:p>
    <w:p w14:paraId="13186FDF" w14:textId="51325CB2" w:rsidR="00A70719" w:rsidRPr="00222CB8" w:rsidRDefault="00A70719" w:rsidP="00A70719">
      <w:pPr>
        <w:ind w:firstLine="709"/>
        <w:jc w:val="both"/>
      </w:pPr>
      <w:r w:rsidRPr="00222CB8">
        <w:t>Por su parte, el artículo 12 regula las condiciones para que la DGOSDCA autorice como entidades proveedoras de certificados de acceso y de certificados de registro de parte usuaria de las carteras europeas de identidad digital a los prestadores cualificados de servicios electrónicos de confianza incluidos en la “lista de confianza nacional de prestadores de servicios cualificados</w:t>
      </w:r>
      <w:r w:rsidR="001F1A11">
        <w:t>”</w:t>
      </w:r>
      <w:r w:rsidRPr="00222CB8">
        <w:t>.</w:t>
      </w:r>
    </w:p>
    <w:p w14:paraId="1FA1E020" w14:textId="6432B38A" w:rsidR="008F6982" w:rsidRPr="00222CB8" w:rsidRDefault="008F6982" w:rsidP="00A70719">
      <w:pPr>
        <w:ind w:firstLine="709"/>
        <w:jc w:val="both"/>
      </w:pPr>
      <w:r w:rsidRPr="00222CB8">
        <w:t>Finalmente, el Capítulo IV, relativo al Catálogo nacional de fuentes auténticas de atributos regula en un solo artículo las características y funciones de dicho catálogo.</w:t>
      </w:r>
      <w:r w:rsidR="002A7692" w:rsidRPr="00222CB8">
        <w:t xml:space="preserve"> A los efectos de este real decreto, se entenderá por fuente auténtica el repositorio o sistema que, conforme al artículo 3 del Reglamento (UE) </w:t>
      </w:r>
      <w:proofErr w:type="spellStart"/>
      <w:r w:rsidR="002A7692" w:rsidRPr="00222CB8">
        <w:t>Nº</w:t>
      </w:r>
      <w:proofErr w:type="spellEnd"/>
      <w:r w:rsidR="002A7692" w:rsidRPr="00222CB8">
        <w:t xml:space="preserve"> 910/2014, sea reconocido como tal por el Derecho de la Unión o nacional, incluidas las prácticas administrativas</w:t>
      </w:r>
    </w:p>
    <w:p w14:paraId="2B887DED" w14:textId="77777777" w:rsidR="00A70719" w:rsidRPr="00222CB8" w:rsidRDefault="00A70719" w:rsidP="00A70719">
      <w:pPr>
        <w:ind w:firstLine="709"/>
        <w:jc w:val="both"/>
      </w:pPr>
      <w:r w:rsidRPr="00222CB8">
        <w:lastRenderedPageBreak/>
        <w:t>Con relación a las disposiciones adicionales, la primera regula el procedimiento de verificación previa por la</w:t>
      </w:r>
      <w:r w:rsidRPr="00222CB8">
        <w:rPr>
          <w:rFonts w:eastAsia="Times New Roman" w:cs="Times New Roman"/>
          <w:szCs w:val="20"/>
          <w:lang w:val="es-ES_tradnl"/>
        </w:rPr>
        <w:t xml:space="preserve"> </w:t>
      </w:r>
      <w:r w:rsidRPr="00222CB8">
        <w:t xml:space="preserve">DGOSDCA del cumplimiento de los requisitos para la expedición de declaraciones electrónicas cualificadas de atributos. La DGOSDCA resolverá sobre la cualificación del prestador y del servicio de confianza cualificado y procederá a la inclusión o actualización de la información pertinente en la lista de confianza nacional, de acuerdo con lo dispuesto en el artículo 22 del Reglamento (UE) </w:t>
      </w:r>
      <w:proofErr w:type="spellStart"/>
      <w:r w:rsidRPr="00222CB8">
        <w:t>Nº</w:t>
      </w:r>
      <w:proofErr w:type="spellEnd"/>
      <w:r w:rsidRPr="00222CB8">
        <w:t xml:space="preserve"> 910/2014 y en los actos de ejecución que resulten aplicables. </w:t>
      </w:r>
    </w:p>
    <w:p w14:paraId="6F96E038" w14:textId="77777777" w:rsidR="008F6982" w:rsidRPr="00222CB8" w:rsidRDefault="00A70719" w:rsidP="008F6982">
      <w:pPr>
        <w:ind w:firstLine="709"/>
        <w:jc w:val="both"/>
      </w:pPr>
      <w:r w:rsidRPr="00222CB8">
        <w:t>Por su parte, la adicional segunda regula el procedimiento de verificación previa del cumplimiento de los requisitos para la expedición de declaraciones electrónicas de atributos por un organismo del sector público responsable de una fuente auténtica, o en nombre de este. Esta función se atribuye también</w:t>
      </w:r>
      <w:r w:rsidR="008F6982" w:rsidRPr="00222CB8">
        <w:t xml:space="preserve"> a la DGOSDCA.</w:t>
      </w:r>
    </w:p>
    <w:p w14:paraId="71F216EC" w14:textId="2559212C" w:rsidR="008F6982" w:rsidRPr="00222CB8" w:rsidRDefault="008F6982" w:rsidP="008F6982">
      <w:pPr>
        <w:ind w:firstLine="709"/>
        <w:jc w:val="both"/>
      </w:pPr>
      <w:r w:rsidRPr="00222CB8">
        <w:t xml:space="preserve">La expedición de declaraciones electrónicas de atributos exige que estas procedan de una fuente fiable. El Reglamento (UE) </w:t>
      </w:r>
      <w:proofErr w:type="spellStart"/>
      <w:r w:rsidRPr="00222CB8">
        <w:t>Nº</w:t>
      </w:r>
      <w:proofErr w:type="spellEnd"/>
      <w:r w:rsidRPr="00222CB8">
        <w:t xml:space="preserve"> 910/2014 no establece un inventario armonizado de registros válido para toda la Unión, sino que remite al Derecho de la Unión o nacional la determinación de los organismos del sector público responsables de una fuente auténtica para cada tipo de atributo, en los términos de su artículo 45 </w:t>
      </w:r>
      <w:proofErr w:type="spellStart"/>
      <w:r w:rsidRPr="00222CB8">
        <w:t>septies</w:t>
      </w:r>
      <w:proofErr w:type="spellEnd"/>
      <w:r w:rsidRPr="00222CB8">
        <w:t xml:space="preserve"> y del Reglamento de Ejecución (UE) 2025/1569. Dicha condición deriva, por tanto, del reconocimiento que otorgue la normativa sectorial aplicable en cada ámbito, sin que corresponda a este real decreto atribuirla, ampliarla ni restringirla. Ello se entiende sin perjuicio de que otras fuentes, incluidas las mantenidas por entidades privadas, puedan sustentar declaraciones electrónicas cualificadas de atributos por la vía prevista para los prestadores cualificados de servicios de confianza.</w:t>
      </w:r>
    </w:p>
    <w:p w14:paraId="5EAA9ADE" w14:textId="77777777" w:rsidR="00A70719" w:rsidRPr="00222CB8" w:rsidRDefault="00A70719" w:rsidP="00A70719">
      <w:pPr>
        <w:ind w:firstLine="709"/>
        <w:jc w:val="both"/>
      </w:pPr>
      <w:r w:rsidRPr="00222CB8">
        <w:t xml:space="preserve">Por último, la disposición adicional tercera regula la representación de España en el Grupo de Cooperación sobre la Identidad Digital Europea previsto en el artículo 46. </w:t>
      </w:r>
      <w:proofErr w:type="spellStart"/>
      <w:r w:rsidRPr="00222CB8">
        <w:t>sexies</w:t>
      </w:r>
      <w:proofErr w:type="spellEnd"/>
      <w:r w:rsidRPr="00222CB8">
        <w:t xml:space="preserve"> del Reglamento (UE) </w:t>
      </w:r>
      <w:proofErr w:type="spellStart"/>
      <w:r w:rsidRPr="00222CB8">
        <w:t>Nº</w:t>
      </w:r>
      <w:proofErr w:type="spellEnd"/>
      <w:r w:rsidRPr="00222CB8">
        <w:t xml:space="preserve"> 910/2014, en lo relativo a la cartera europea de identidad digital.</w:t>
      </w:r>
    </w:p>
    <w:p w14:paraId="52041CB3" w14:textId="77777777" w:rsidR="00A70719" w:rsidRPr="00222CB8" w:rsidRDefault="00A70719" w:rsidP="00A70719">
      <w:pPr>
        <w:ind w:firstLine="709"/>
        <w:jc w:val="both"/>
      </w:pPr>
      <w:r w:rsidRPr="00222CB8">
        <w:t>El real decreto concluye con tres disposiciones finales que regulan, respectivamente, los títulos competenciales habilitantes, la habilitación normativa a la persona titular del Ministerio para la Transformación Digital y de la Función Pública y, finalmente, la entrada en vigor de la norma.</w:t>
      </w:r>
    </w:p>
    <w:p w14:paraId="02CDE802" w14:textId="77777777" w:rsidR="00A70719" w:rsidRPr="00222CB8" w:rsidRDefault="00A70719" w:rsidP="00A70719">
      <w:pPr>
        <w:spacing w:after="0"/>
        <w:ind w:firstLine="709"/>
        <w:jc w:val="both"/>
        <w:rPr>
          <w:rFonts w:eastAsia="Times New Roman"/>
          <w:szCs w:val="20"/>
          <w:highlight w:val="yellow"/>
        </w:rPr>
      </w:pPr>
    </w:p>
    <w:bookmarkEnd w:id="1"/>
    <w:p w14:paraId="304A3433" w14:textId="77777777" w:rsidR="00A70719" w:rsidRPr="00222CB8" w:rsidRDefault="00A70719" w:rsidP="00A70719">
      <w:pPr>
        <w:suppressAutoHyphens/>
        <w:spacing w:after="0"/>
        <w:ind w:right="-81"/>
        <w:jc w:val="both"/>
        <w:rPr>
          <w:rFonts w:eastAsia="Times New Roman"/>
          <w:b/>
          <w:bCs/>
          <w:kern w:val="1"/>
          <w:szCs w:val="20"/>
        </w:rPr>
      </w:pPr>
      <w:r w:rsidRPr="00222CB8">
        <w:rPr>
          <w:rFonts w:eastAsia="Times New Roman"/>
          <w:b/>
          <w:bCs/>
          <w:kern w:val="1"/>
          <w:szCs w:val="20"/>
          <w:lang w:val="es-ES_tradnl"/>
        </w:rPr>
        <w:t>2.</w:t>
      </w:r>
      <w:r w:rsidRPr="00222CB8">
        <w:rPr>
          <w:rFonts w:eastAsia="Times New Roman"/>
          <w:b/>
          <w:bCs/>
          <w:kern w:val="1"/>
          <w:szCs w:val="20"/>
        </w:rPr>
        <w:t xml:space="preserve"> ANÁLISIS JURÍDICO</w:t>
      </w:r>
    </w:p>
    <w:p w14:paraId="29C14719" w14:textId="77777777" w:rsidR="00A70719" w:rsidRPr="00222CB8" w:rsidRDefault="00A70719" w:rsidP="00A70719">
      <w:pPr>
        <w:spacing w:after="0"/>
        <w:jc w:val="both"/>
        <w:rPr>
          <w:rFonts w:eastAsia="Times New Roman"/>
          <w:szCs w:val="20"/>
          <w:lang w:val="es-ES_tradnl"/>
        </w:rPr>
      </w:pPr>
    </w:p>
    <w:p w14:paraId="76D147E5" w14:textId="77777777" w:rsidR="00A70719" w:rsidRPr="00222CB8" w:rsidRDefault="00A70719" w:rsidP="00A70719">
      <w:pPr>
        <w:spacing w:after="0"/>
        <w:jc w:val="both"/>
        <w:rPr>
          <w:rFonts w:eastAsia="Times New Roman"/>
          <w:b/>
          <w:bCs/>
          <w:szCs w:val="20"/>
          <w:u w:val="single"/>
        </w:rPr>
      </w:pPr>
      <w:r w:rsidRPr="00222CB8">
        <w:rPr>
          <w:rFonts w:eastAsia="Times New Roman"/>
          <w:b/>
          <w:bCs/>
          <w:szCs w:val="20"/>
          <w:u w:val="single"/>
        </w:rPr>
        <w:t xml:space="preserve">2.1 Engarce con el derecho nacional </w:t>
      </w:r>
    </w:p>
    <w:p w14:paraId="55C016C6" w14:textId="77777777" w:rsidR="00A70719" w:rsidRPr="00222CB8" w:rsidRDefault="00A70719" w:rsidP="00A70719">
      <w:pPr>
        <w:spacing w:after="0"/>
        <w:ind w:firstLine="709"/>
        <w:jc w:val="both"/>
        <w:rPr>
          <w:rFonts w:eastAsia="Times New Roman"/>
          <w:szCs w:val="20"/>
          <w:lang w:val="es-ES_tradnl"/>
        </w:rPr>
      </w:pPr>
    </w:p>
    <w:p w14:paraId="45368A10" w14:textId="77777777" w:rsidR="00A70719" w:rsidRPr="00222CB8" w:rsidRDefault="00A70719" w:rsidP="00A70719">
      <w:pPr>
        <w:spacing w:after="0"/>
        <w:ind w:firstLine="709"/>
        <w:jc w:val="both"/>
        <w:rPr>
          <w:rFonts w:eastAsia="Times New Roman"/>
          <w:szCs w:val="20"/>
        </w:rPr>
      </w:pPr>
      <w:r w:rsidRPr="00222CB8">
        <w:rPr>
          <w:rFonts w:eastAsia="Times New Roman"/>
          <w:szCs w:val="20"/>
        </w:rPr>
        <w:t xml:space="preserve">Este real decreto se dicta al amparo de lo dispuesto en el artículo 149.1.18.ª de la Constitución, que atribuye al Estado la competencia exclusiva en materia de procedimiento administrativo común y para dictar las bases del régimen jurídico de las Administraciones Públicas y al amparo de los artículos 149.1.21.ª y 149.1.29.ª, que atribuyen al Estado la competencia exclusiva en materia de telecomunicaciones y en materia de seguridad pública, respectivamente, en cuanto a su relación con la ciberseguridad y su impacto en la seguridad de las redes y sistemas de información. </w:t>
      </w:r>
    </w:p>
    <w:p w14:paraId="585B6360" w14:textId="77777777" w:rsidR="00A70719" w:rsidRPr="00222CB8" w:rsidRDefault="00A70719" w:rsidP="00A70719">
      <w:pPr>
        <w:spacing w:after="0"/>
        <w:ind w:firstLine="709"/>
        <w:jc w:val="both"/>
        <w:rPr>
          <w:rFonts w:eastAsia="Times New Roman"/>
          <w:szCs w:val="20"/>
        </w:rPr>
      </w:pPr>
    </w:p>
    <w:p w14:paraId="4500325E" w14:textId="77777777" w:rsidR="00A70719" w:rsidRPr="00222CB8" w:rsidRDefault="00A70719" w:rsidP="00A70719">
      <w:pPr>
        <w:spacing w:after="0"/>
        <w:ind w:firstLine="709"/>
        <w:jc w:val="both"/>
        <w:rPr>
          <w:rFonts w:eastAsia="Times New Roman"/>
          <w:kern w:val="1"/>
          <w:szCs w:val="20"/>
          <w:lang w:val="es-ES_tradnl"/>
        </w:rPr>
      </w:pPr>
      <w:r w:rsidRPr="00222CB8">
        <w:rPr>
          <w:rFonts w:eastAsia="Times New Roman"/>
          <w:szCs w:val="20"/>
        </w:rPr>
        <w:t xml:space="preserve">Por otro lado, de conformidad con el artículo 97 de la Constitución, el Gobierno tiene la competencia en el ejercicio de la potestad reglamentaria. Asimismo, el real decreto </w:t>
      </w:r>
      <w:r w:rsidRPr="00222CB8">
        <w:rPr>
          <w:rFonts w:eastAsia="Times New Roman"/>
          <w:kern w:val="1"/>
          <w:szCs w:val="20"/>
          <w:lang w:val="es-ES_tradnl"/>
        </w:rPr>
        <w:t xml:space="preserve">se aprueba en ejercicio de la potestad de autoorganización de la Administración del Estado sobre la base de las habilitaciones contenidas en la disposición final sexta de la </w:t>
      </w:r>
      <w:r w:rsidRPr="00222CB8">
        <w:rPr>
          <w:rFonts w:eastAsia="Times New Roman"/>
          <w:szCs w:val="20"/>
          <w:lang w:val="es-ES_tradnl"/>
        </w:rPr>
        <w:t xml:space="preserve">Ley 39/2015, de 1 de octubre, del </w:t>
      </w:r>
      <w:r w:rsidRPr="00222CB8">
        <w:rPr>
          <w:rFonts w:eastAsia="Times New Roman"/>
          <w:szCs w:val="20"/>
          <w:lang w:val="es-ES_tradnl"/>
        </w:rPr>
        <w:lastRenderedPageBreak/>
        <w:t>Procedimiento Administrativo Común de las Administraciones Públicas</w:t>
      </w:r>
      <w:r w:rsidRPr="00222CB8">
        <w:rPr>
          <w:rFonts w:eastAsia="Times New Roman"/>
          <w:kern w:val="1"/>
          <w:szCs w:val="20"/>
          <w:lang w:val="es-ES_tradnl"/>
        </w:rPr>
        <w:t xml:space="preserve"> y en la disposición final decimoquinta de la </w:t>
      </w:r>
      <w:r w:rsidRPr="00222CB8">
        <w:rPr>
          <w:rFonts w:eastAsia="Times New Roman"/>
          <w:szCs w:val="20"/>
          <w:lang w:val="es-ES_tradnl"/>
        </w:rPr>
        <w:t>Ley 40/2015, de 1 de octubre, de Régimen Jurídico del Sector Público.</w:t>
      </w:r>
      <w:r w:rsidRPr="00222CB8">
        <w:rPr>
          <w:rFonts w:eastAsia="Times New Roman"/>
          <w:kern w:val="1"/>
          <w:szCs w:val="20"/>
          <w:lang w:val="es-ES_tradnl"/>
        </w:rPr>
        <w:t xml:space="preserve"> </w:t>
      </w:r>
    </w:p>
    <w:p w14:paraId="3399077B" w14:textId="77777777" w:rsidR="00A70719" w:rsidRPr="00222CB8" w:rsidRDefault="00A70719" w:rsidP="00A70719">
      <w:pPr>
        <w:spacing w:after="0"/>
        <w:ind w:firstLine="709"/>
        <w:jc w:val="both"/>
        <w:rPr>
          <w:rFonts w:eastAsia="Times New Roman"/>
          <w:kern w:val="1"/>
          <w:szCs w:val="20"/>
          <w:highlight w:val="yellow"/>
          <w:lang w:val="es-ES_tradnl"/>
        </w:rPr>
      </w:pPr>
    </w:p>
    <w:p w14:paraId="10C0D087" w14:textId="77777777" w:rsidR="00A70719" w:rsidRPr="00222CB8" w:rsidRDefault="00A70719" w:rsidP="00A70719">
      <w:pPr>
        <w:spacing w:after="0"/>
        <w:jc w:val="both"/>
        <w:rPr>
          <w:rFonts w:eastAsia="Times New Roman"/>
          <w:b/>
          <w:bCs/>
          <w:szCs w:val="20"/>
          <w:u w:val="single"/>
        </w:rPr>
      </w:pPr>
      <w:r w:rsidRPr="00222CB8">
        <w:rPr>
          <w:rFonts w:eastAsia="Times New Roman"/>
          <w:b/>
          <w:bCs/>
          <w:szCs w:val="20"/>
          <w:u w:val="single"/>
        </w:rPr>
        <w:t>2.2 Contribución del proyecto al engarce con iniciativas internacionales</w:t>
      </w:r>
    </w:p>
    <w:p w14:paraId="500C9286" w14:textId="77777777" w:rsidR="00A70719" w:rsidRPr="00222CB8" w:rsidRDefault="00A70719" w:rsidP="00A70719">
      <w:pPr>
        <w:spacing w:after="0"/>
        <w:jc w:val="both"/>
        <w:rPr>
          <w:rFonts w:eastAsia="Times New Roman"/>
          <w:b/>
          <w:bCs/>
          <w:szCs w:val="20"/>
          <w:u w:val="single"/>
          <w:lang w:val="es-ES_tradnl"/>
        </w:rPr>
      </w:pPr>
    </w:p>
    <w:p w14:paraId="0D5E0376" w14:textId="77777777" w:rsidR="00A70719" w:rsidRPr="00222CB8" w:rsidRDefault="00A70719" w:rsidP="00A70719">
      <w:pPr>
        <w:spacing w:after="240"/>
        <w:ind w:firstLine="426"/>
        <w:jc w:val="both"/>
        <w:textAlignment w:val="baseline"/>
        <w:rPr>
          <w:rFonts w:eastAsia="Times New Roman"/>
          <w:spacing w:val="-2"/>
          <w:szCs w:val="20"/>
        </w:rPr>
      </w:pPr>
      <w:r w:rsidRPr="00222CB8">
        <w:rPr>
          <w:rFonts w:eastAsia="Times New Roman"/>
          <w:szCs w:val="20"/>
          <w:lang w:val="es-ES_tradnl"/>
        </w:rPr>
        <w:t>El esfuerzo continuado de nuestras administraciones públicas para ofrecer servicios electrónicos mejores y más eficientes, más adaptados a las demandas de la ciudadanía y las empresas, ha situado a nuestro país entre los más avanzados de la Unión Europea y la OCDE en esta materia.</w:t>
      </w:r>
    </w:p>
    <w:p w14:paraId="6AB7851B" w14:textId="77777777" w:rsidR="00A70719" w:rsidRPr="00222CB8" w:rsidRDefault="00A70719" w:rsidP="00A70719">
      <w:pPr>
        <w:spacing w:after="240"/>
        <w:ind w:firstLine="426"/>
        <w:jc w:val="both"/>
        <w:textAlignment w:val="baseline"/>
      </w:pPr>
      <w:r w:rsidRPr="00222CB8">
        <w:rPr>
          <w:rFonts w:eastAsia="Times New Roman"/>
          <w:spacing w:val="-2"/>
          <w:szCs w:val="20"/>
        </w:rPr>
        <w:t xml:space="preserve">Este proyecto de real decreto se desarrolla como ejecución de un reglamento europeo, por lo que el </w:t>
      </w:r>
      <w:r w:rsidRPr="00222CB8">
        <w:rPr>
          <w:rFonts w:eastAsia="Times New Roman"/>
          <w:b/>
          <w:bCs/>
          <w:spacing w:val="-2"/>
          <w:szCs w:val="20"/>
        </w:rPr>
        <w:t>engarce con el derecho de la Unión Europea es directo</w:t>
      </w:r>
      <w:r w:rsidRPr="00222CB8">
        <w:rPr>
          <w:rFonts w:eastAsia="Times New Roman"/>
          <w:spacing w:val="-2"/>
          <w:szCs w:val="20"/>
        </w:rPr>
        <w:t xml:space="preserve">. Así, </w:t>
      </w:r>
      <w:r w:rsidRPr="00222CB8">
        <w:t xml:space="preserve">tiene por objeto designar las autoridades competentes en el ámbito nacional y atribuir las funciones que les corresponden en el ecosistema de la cartera europea de identidad digital en España, para asegurar su provisión, certificación, supervisión, gobernanza y operatividad, de acuerdo con lo previsto en el Reglamento </w:t>
      </w:r>
      <w:proofErr w:type="spellStart"/>
      <w:r w:rsidRPr="00222CB8">
        <w:t>eIDAS</w:t>
      </w:r>
      <w:proofErr w:type="spellEnd"/>
      <w:r w:rsidRPr="00222CB8">
        <w:t xml:space="preserve">, tras su modificación por el </w:t>
      </w:r>
      <w:proofErr w:type="spellStart"/>
      <w:r w:rsidRPr="00222CB8">
        <w:t>eIDAS</w:t>
      </w:r>
      <w:proofErr w:type="spellEnd"/>
      <w:r w:rsidRPr="00222CB8">
        <w:t xml:space="preserve"> 2, y de acuerdo con lo previsto en los siguientes reglamentos de ejecución de la Comisión:</w:t>
      </w:r>
    </w:p>
    <w:p w14:paraId="1D7A4257" w14:textId="77777777" w:rsidR="00A70719" w:rsidRPr="00222CB8" w:rsidRDefault="00A70719" w:rsidP="00A70719">
      <w:pPr>
        <w:numPr>
          <w:ilvl w:val="0"/>
          <w:numId w:val="40"/>
        </w:numPr>
        <w:spacing w:after="0"/>
        <w:contextualSpacing/>
        <w:jc w:val="both"/>
      </w:pPr>
      <w:r w:rsidRPr="00222CB8">
        <w:t xml:space="preserve">Reglamento de Ejecución (UE) 2024/2977 de la Comisión, de 28 de noviembre de 2024, por el que se establecen disposiciones de aplicación del Reglamento (UE) </w:t>
      </w:r>
      <w:proofErr w:type="spellStart"/>
      <w:r w:rsidRPr="00222CB8">
        <w:t>Nº</w:t>
      </w:r>
      <w:proofErr w:type="spellEnd"/>
      <w:r w:rsidRPr="00222CB8">
        <w:t xml:space="preserve"> 910/2014 del Parlamento Europeo y del Consejo en lo que respecta a los datos de identificación de la persona y las declaraciones electrónicas de atributos expedidos a </w:t>
      </w:r>
      <w:r w:rsidRPr="00222CB8">
        <w:rPr>
          <w:bCs/>
        </w:rPr>
        <w:t>carteras</w:t>
      </w:r>
      <w:r w:rsidRPr="00222CB8">
        <w:t xml:space="preserve"> europeas de identidad digital. </w:t>
      </w:r>
    </w:p>
    <w:p w14:paraId="764FBBCC" w14:textId="77777777" w:rsidR="00A70719" w:rsidRPr="00222CB8" w:rsidRDefault="00A70719" w:rsidP="00A70719">
      <w:pPr>
        <w:numPr>
          <w:ilvl w:val="0"/>
          <w:numId w:val="40"/>
        </w:numPr>
        <w:spacing w:after="0"/>
        <w:contextualSpacing/>
        <w:jc w:val="both"/>
      </w:pPr>
      <w:r w:rsidRPr="00222CB8">
        <w:t xml:space="preserve">Reglamento de Ejecución (UE) 2024/2979 de la Comisión, de 28 de noviembre de 2024, por el que se establecen disposiciones de aplicación del Reglamento (UE) </w:t>
      </w:r>
      <w:proofErr w:type="spellStart"/>
      <w:r w:rsidRPr="00222CB8">
        <w:t>Nº</w:t>
      </w:r>
      <w:proofErr w:type="spellEnd"/>
      <w:r w:rsidRPr="00222CB8">
        <w:t xml:space="preserve"> 910/2014 del Parlamento Europeo y del Consejo en lo que respecta a la integridad y las funcionalidades básicas de las </w:t>
      </w:r>
      <w:r w:rsidRPr="00222CB8">
        <w:rPr>
          <w:bCs/>
        </w:rPr>
        <w:t>carteras</w:t>
      </w:r>
      <w:r w:rsidRPr="00222CB8">
        <w:t xml:space="preserve"> europeas de identidad digital.</w:t>
      </w:r>
    </w:p>
    <w:p w14:paraId="6BE48A27" w14:textId="77777777" w:rsidR="00A70719" w:rsidRPr="00222CB8" w:rsidRDefault="00A70719" w:rsidP="00A70719">
      <w:pPr>
        <w:numPr>
          <w:ilvl w:val="0"/>
          <w:numId w:val="40"/>
        </w:numPr>
        <w:spacing w:after="0"/>
        <w:contextualSpacing/>
        <w:jc w:val="both"/>
      </w:pPr>
      <w:r w:rsidRPr="00222CB8">
        <w:t xml:space="preserve">Reglamento de Ejecución (UE) 2024/2980 de la Comisión, de 28 de noviembre de 2024, por el que se establecen disposiciones de aplicación del Reglamento (UE) </w:t>
      </w:r>
      <w:proofErr w:type="spellStart"/>
      <w:r w:rsidRPr="00222CB8">
        <w:t>Nº</w:t>
      </w:r>
      <w:proofErr w:type="spellEnd"/>
      <w:r w:rsidRPr="00222CB8">
        <w:t xml:space="preserve"> 910/2014 del Parlamento Europeo y del Consejo en lo que respecta a las notificaciones a la Comisión relativas al ecosistema de la cartera europea de identidad digital.</w:t>
      </w:r>
    </w:p>
    <w:p w14:paraId="3994DC8D" w14:textId="77777777" w:rsidR="00A70719" w:rsidRPr="00222CB8" w:rsidRDefault="00A70719" w:rsidP="00A70719">
      <w:pPr>
        <w:numPr>
          <w:ilvl w:val="0"/>
          <w:numId w:val="40"/>
        </w:numPr>
        <w:spacing w:after="0"/>
        <w:contextualSpacing/>
        <w:jc w:val="both"/>
      </w:pPr>
      <w:r w:rsidRPr="00222CB8">
        <w:t xml:space="preserve">Reglamento de Ejecución (UE) 2024/2981 de la Comisión, de 28 de noviembre de 2024, por el que se establecen disposiciones de aplicación del Reglamento (UE) </w:t>
      </w:r>
      <w:proofErr w:type="spellStart"/>
      <w:r w:rsidRPr="00222CB8">
        <w:t>Nº</w:t>
      </w:r>
      <w:proofErr w:type="spellEnd"/>
      <w:r w:rsidRPr="00222CB8">
        <w:t xml:space="preserve"> 910/2014 del Parlamento Europeo y del Consejo en lo que respecta a la certificación de las </w:t>
      </w:r>
      <w:r w:rsidRPr="00222CB8">
        <w:rPr>
          <w:bCs/>
        </w:rPr>
        <w:t>carteras</w:t>
      </w:r>
      <w:r w:rsidRPr="00222CB8">
        <w:t xml:space="preserve"> europeas de identidad digital</w:t>
      </w:r>
    </w:p>
    <w:p w14:paraId="1EDDD3BC" w14:textId="77777777" w:rsidR="00A70719" w:rsidRPr="00222CB8" w:rsidRDefault="00A70719" w:rsidP="00A70719">
      <w:pPr>
        <w:numPr>
          <w:ilvl w:val="0"/>
          <w:numId w:val="40"/>
        </w:numPr>
        <w:spacing w:after="0"/>
        <w:contextualSpacing/>
        <w:jc w:val="both"/>
      </w:pPr>
      <w:r w:rsidRPr="00222CB8">
        <w:t xml:space="preserve">Reglamento de Ejecución (UE) 2024/2982 de la Comisión, de 28 de noviembre de 2024, por el que se establecen disposiciones de aplicación del Reglamento (UE) </w:t>
      </w:r>
      <w:proofErr w:type="spellStart"/>
      <w:r w:rsidRPr="00222CB8">
        <w:t>Nº</w:t>
      </w:r>
      <w:proofErr w:type="spellEnd"/>
      <w:r w:rsidRPr="00222CB8">
        <w:t xml:space="preserve"> 910/2014 del Parlamento Europeo y del Consejo en lo que respecta a los protocolos y las interfaces que admitirá el marco europeo de identidad digital.</w:t>
      </w:r>
    </w:p>
    <w:p w14:paraId="3F1083DA" w14:textId="77777777" w:rsidR="00A70719" w:rsidRPr="00222CB8" w:rsidRDefault="00A70719" w:rsidP="00A70719">
      <w:pPr>
        <w:numPr>
          <w:ilvl w:val="0"/>
          <w:numId w:val="40"/>
        </w:numPr>
        <w:spacing w:after="0"/>
        <w:contextualSpacing/>
        <w:jc w:val="both"/>
      </w:pPr>
      <w:r w:rsidRPr="00222CB8">
        <w:t xml:space="preserve">Reglamento de Ejecución (UE) 2025/846 de la Comisión, de 6 de mayo de 2025, por el que se establecen disposiciones de aplicación del Reglamento (UE) </w:t>
      </w:r>
      <w:proofErr w:type="spellStart"/>
      <w:r w:rsidRPr="00222CB8">
        <w:t>Nº</w:t>
      </w:r>
      <w:proofErr w:type="spellEnd"/>
      <w:r w:rsidRPr="00222CB8">
        <w:t xml:space="preserve"> 910/2014 del Parlamento Europeo y del Consejo en lo que respecta a la correspondencia transfronteriza de la identidad de las personas físicas</w:t>
      </w:r>
    </w:p>
    <w:p w14:paraId="779F10A4" w14:textId="77777777" w:rsidR="00A70719" w:rsidRPr="00222CB8" w:rsidRDefault="00A70719" w:rsidP="00A70719">
      <w:pPr>
        <w:numPr>
          <w:ilvl w:val="0"/>
          <w:numId w:val="40"/>
        </w:numPr>
        <w:spacing w:after="0"/>
        <w:contextualSpacing/>
        <w:jc w:val="both"/>
      </w:pPr>
      <w:r w:rsidRPr="00222CB8">
        <w:t xml:space="preserve">Reglamento de Ejecución (UE) 2025/847 de la Comisión, de 6 de mayo de 2025, por el que se establecen disposiciones de aplicación del Reglamento (UE) </w:t>
      </w:r>
      <w:proofErr w:type="spellStart"/>
      <w:r w:rsidRPr="00222CB8">
        <w:t>Nº</w:t>
      </w:r>
      <w:proofErr w:type="spellEnd"/>
      <w:r w:rsidRPr="00222CB8">
        <w:t xml:space="preserve"> 910/2014 del Parlamento Europeo y del Consejo en lo que respecta a las reacciones a las violaciones de la seguridad de las </w:t>
      </w:r>
      <w:r w:rsidRPr="00222CB8">
        <w:rPr>
          <w:bCs/>
        </w:rPr>
        <w:t>carteras</w:t>
      </w:r>
      <w:r w:rsidRPr="00222CB8">
        <w:t xml:space="preserve"> europeas de identidad digital</w:t>
      </w:r>
    </w:p>
    <w:p w14:paraId="2C4E6A9A" w14:textId="77777777" w:rsidR="00A70719" w:rsidRPr="00222CB8" w:rsidRDefault="00A70719" w:rsidP="00A70719">
      <w:pPr>
        <w:numPr>
          <w:ilvl w:val="0"/>
          <w:numId w:val="40"/>
        </w:numPr>
        <w:spacing w:after="0"/>
        <w:contextualSpacing/>
        <w:jc w:val="both"/>
      </w:pPr>
      <w:r w:rsidRPr="00222CB8">
        <w:lastRenderedPageBreak/>
        <w:t xml:space="preserve">Reglamento de Ejecución (UE) 2025/848 de la Comisión, de 6 de mayo de 2025, por el que se establecen disposiciones de aplicación del Reglamento (UE) </w:t>
      </w:r>
      <w:proofErr w:type="spellStart"/>
      <w:r w:rsidRPr="00222CB8">
        <w:t>Nº</w:t>
      </w:r>
      <w:proofErr w:type="spellEnd"/>
      <w:r w:rsidRPr="00222CB8">
        <w:t xml:space="preserve"> 910/2014 del Parlamento Europeo y del Consejo en lo relativo al registro de las partes usuarias de las </w:t>
      </w:r>
      <w:r w:rsidRPr="00222CB8">
        <w:rPr>
          <w:bCs/>
        </w:rPr>
        <w:t>carteras.</w:t>
      </w:r>
    </w:p>
    <w:p w14:paraId="575C55B5" w14:textId="77777777" w:rsidR="00A70719" w:rsidRPr="00222CB8" w:rsidRDefault="00A70719" w:rsidP="00A70719">
      <w:pPr>
        <w:numPr>
          <w:ilvl w:val="0"/>
          <w:numId w:val="40"/>
        </w:numPr>
        <w:spacing w:after="0"/>
        <w:contextualSpacing/>
        <w:jc w:val="both"/>
      </w:pPr>
      <w:r w:rsidRPr="00222CB8">
        <w:t xml:space="preserve">Reglamento de Ejecución (UE) 2025/849 de la Comisión, de 6 de mayo de 2025, por el que se establecen disposiciones de aplicación del Reglamento (UE) </w:t>
      </w:r>
      <w:proofErr w:type="spellStart"/>
      <w:r w:rsidRPr="00222CB8">
        <w:t>Nº</w:t>
      </w:r>
      <w:proofErr w:type="spellEnd"/>
      <w:r w:rsidRPr="00222CB8">
        <w:t xml:space="preserve"> 910/2014 del Parlamento Europeo y del Consejo en lo que respecta a la presentación de información a la Comisión y al Grupo de Cooperación para la lista de </w:t>
      </w:r>
      <w:r w:rsidRPr="00222CB8">
        <w:rPr>
          <w:bCs/>
        </w:rPr>
        <w:t>carteras</w:t>
      </w:r>
      <w:r w:rsidRPr="00222CB8">
        <w:t xml:space="preserve"> europeas de identidad digital certificadas.</w:t>
      </w:r>
    </w:p>
    <w:p w14:paraId="0C50F0B3" w14:textId="77777777" w:rsidR="00A70719" w:rsidRPr="00222CB8" w:rsidRDefault="00A70719" w:rsidP="00A70719">
      <w:pPr>
        <w:numPr>
          <w:ilvl w:val="0"/>
          <w:numId w:val="40"/>
        </w:numPr>
        <w:spacing w:after="0"/>
        <w:contextualSpacing/>
        <w:jc w:val="both"/>
      </w:pPr>
      <w:r w:rsidRPr="00222CB8">
        <w:t xml:space="preserve">Reglamento de Ejecución (UE) 2025/1566 de la Comisión, de 29 de julio de 2025, por el que se establecen disposiciones de aplicación del Reglamento (UE) </w:t>
      </w:r>
      <w:proofErr w:type="spellStart"/>
      <w:r w:rsidRPr="00222CB8">
        <w:t>Nº</w:t>
      </w:r>
      <w:proofErr w:type="spellEnd"/>
      <w:r w:rsidRPr="00222CB8">
        <w:t xml:space="preserve"> 910/2014 del Parlamento Europeo y del Consejo en lo que respecta a las normas de referencia para la verificación de la identidad y el cotejo de los atributos de la persona a la que va a expedirse el certificado cualificado o la declaración electrónica cualificada de atributos.</w:t>
      </w:r>
    </w:p>
    <w:p w14:paraId="182EC4BE" w14:textId="77777777" w:rsidR="00A70719" w:rsidRPr="00222CB8" w:rsidRDefault="00A70719" w:rsidP="00A70719">
      <w:pPr>
        <w:numPr>
          <w:ilvl w:val="0"/>
          <w:numId w:val="40"/>
        </w:numPr>
        <w:spacing w:after="0"/>
        <w:contextualSpacing/>
        <w:jc w:val="both"/>
      </w:pPr>
      <w:r w:rsidRPr="00222CB8">
        <w:t xml:space="preserve">Reglamento de Ejecución (UE) 2025/1569 de la Comisión, de 29 de julio de 2025, por el que se establecen disposiciones de aplicación del Reglamento (UE) </w:t>
      </w:r>
      <w:proofErr w:type="spellStart"/>
      <w:r w:rsidRPr="00222CB8">
        <w:t>Nº</w:t>
      </w:r>
      <w:proofErr w:type="spellEnd"/>
      <w:r w:rsidRPr="00222CB8">
        <w:t xml:space="preserve"> 910/2014 del Parlamento Europeo y del Consejo en lo que respecta a las declaraciones electrónicas cualificadas de atributos y las declaraciones electrónicas de atributos proporcionadas por un organismo del sector público responsable de una fuente auténtica, o en nombre de este.</w:t>
      </w:r>
    </w:p>
    <w:p w14:paraId="553E6BF6" w14:textId="77777777" w:rsidR="00A70719" w:rsidRPr="00222CB8" w:rsidRDefault="00A70719" w:rsidP="00A70719">
      <w:pPr>
        <w:numPr>
          <w:ilvl w:val="0"/>
          <w:numId w:val="40"/>
        </w:numPr>
        <w:spacing w:after="0"/>
        <w:contextualSpacing/>
        <w:jc w:val="both"/>
      </w:pPr>
      <w:r w:rsidRPr="00222CB8">
        <w:t xml:space="preserve">Reglamento de Ejecución (UE) 2025/1571 de la Comisión, de 29 de julio de 2025, por el que se establecen disposiciones de aplicación del Reglamento (UE) </w:t>
      </w:r>
      <w:proofErr w:type="spellStart"/>
      <w:r w:rsidRPr="00222CB8">
        <w:t>Nº</w:t>
      </w:r>
      <w:proofErr w:type="spellEnd"/>
      <w:r w:rsidRPr="00222CB8">
        <w:t xml:space="preserve"> 910/2014 del Parlamento Europeo y del Consejo en lo que respecta a los formatos y procedimientos de los informes anuales de los organismos de supervisión.</w:t>
      </w:r>
    </w:p>
    <w:p w14:paraId="56C0AC62" w14:textId="77777777" w:rsidR="00A70719" w:rsidRPr="00222CB8" w:rsidRDefault="00A70719" w:rsidP="00A70719">
      <w:pPr>
        <w:numPr>
          <w:ilvl w:val="0"/>
          <w:numId w:val="40"/>
        </w:numPr>
        <w:spacing w:after="0"/>
        <w:contextualSpacing/>
        <w:jc w:val="both"/>
      </w:pPr>
      <w:r w:rsidRPr="00222CB8">
        <w:t xml:space="preserve">Reglamento de Ejecución (UE) 2025/1572 de la Comisión, de 29 de julio de 2025, por el que se establecen disposiciones de aplicación del Reglamento (UE) </w:t>
      </w:r>
      <w:proofErr w:type="spellStart"/>
      <w:r w:rsidRPr="00222CB8">
        <w:t>Nº</w:t>
      </w:r>
      <w:proofErr w:type="spellEnd"/>
      <w:r w:rsidRPr="00222CB8">
        <w:t xml:space="preserve"> 910/2014 del Parlamento Europeo y del Consejo en lo que respecta al formato y los procedimientos de notificación de intenciones y de verificación en relación con el inicio de servicios de confianza cualificados.</w:t>
      </w:r>
    </w:p>
    <w:p w14:paraId="38A21AA5" w14:textId="77777777" w:rsidR="00A70719" w:rsidRPr="00222CB8" w:rsidRDefault="00A70719" w:rsidP="00A70719">
      <w:pPr>
        <w:numPr>
          <w:ilvl w:val="0"/>
          <w:numId w:val="40"/>
        </w:numPr>
        <w:spacing w:after="0"/>
        <w:contextualSpacing/>
        <w:jc w:val="both"/>
      </w:pPr>
      <w:r w:rsidRPr="00222CB8">
        <w:t xml:space="preserve">Reglamento de Ejecución (UE) 2025/2162 de la Comisión, de 27 de octubre de 2025, por el que se establecen disposiciones de aplicación del Reglamento (UE) </w:t>
      </w:r>
      <w:proofErr w:type="spellStart"/>
      <w:r w:rsidRPr="00222CB8">
        <w:t>Nº</w:t>
      </w:r>
      <w:proofErr w:type="spellEnd"/>
      <w:r w:rsidRPr="00222CB8">
        <w:t xml:space="preserve">  910/2014 del Parlamento Europeo y del Consejo en lo que respecta a la acreditación de los organismos de evaluación de la conformidad que realizan la evaluación de los prestadores cualificados de servicios de confianza y de los servicios de confianza cualificados que prestan, el informe de evaluación de la conformidad y el sistema de evaluación de la conformidad.</w:t>
      </w:r>
    </w:p>
    <w:p w14:paraId="3DE50D20" w14:textId="77777777" w:rsidR="00A70719" w:rsidRPr="00222CB8" w:rsidRDefault="00A70719" w:rsidP="00A70719">
      <w:pPr>
        <w:ind w:left="360" w:hanging="360"/>
        <w:contextualSpacing/>
        <w:jc w:val="both"/>
      </w:pPr>
      <w:r w:rsidRPr="00222CB8">
        <w:t xml:space="preserve">ñ) Reglamento de Ejecución (UE) 2026/798 de la Comisión de 7 de abril de 2026 por el que se establecen disposiciones de aplicación del Reglamento (UE) </w:t>
      </w:r>
      <w:proofErr w:type="spellStart"/>
      <w:r w:rsidRPr="00222CB8">
        <w:t>Nº</w:t>
      </w:r>
      <w:proofErr w:type="spellEnd"/>
      <w:r w:rsidRPr="00222CB8">
        <w:t xml:space="preserve"> 910/2014 del Parlamento Europeo y del Consejo en lo que respecta a las normas de referencia y especificaciones para la incorporación a distancia de usuarios a las </w:t>
      </w:r>
      <w:r w:rsidRPr="00222CB8">
        <w:rPr>
          <w:bCs/>
        </w:rPr>
        <w:t>carteras</w:t>
      </w:r>
      <w:r w:rsidRPr="00222CB8">
        <w:t xml:space="preserve"> europeas de identidad digital por medios de identificación electrónica conformes con el nivel de seguridad sustancial junto con procedimientos adicionales de incorporación a distancia cuando la combinación cumpla los requisitos del nivel de seguridad alto.</w:t>
      </w:r>
    </w:p>
    <w:p w14:paraId="17354EA8" w14:textId="77777777" w:rsidR="00A70719" w:rsidRPr="00222CB8" w:rsidRDefault="00A70719" w:rsidP="00A70719">
      <w:pPr>
        <w:numPr>
          <w:ilvl w:val="0"/>
          <w:numId w:val="40"/>
        </w:numPr>
        <w:spacing w:after="0"/>
        <w:contextualSpacing/>
        <w:jc w:val="both"/>
      </w:pPr>
      <w:r w:rsidRPr="00222CB8">
        <w:t xml:space="preserve">Reglamento de Ejecución (UE) 2026/1730 de la Comisión, de 15 de julio de 2026, por el que se modifica el Reglamento de Ejecución (UE) 2025/848 en lo que respecta a las normas y especificaciones aplicables. </w:t>
      </w:r>
    </w:p>
    <w:p w14:paraId="73174830" w14:textId="77777777" w:rsidR="00A70719" w:rsidRPr="00222CB8" w:rsidRDefault="00A70719" w:rsidP="00A70719">
      <w:pPr>
        <w:numPr>
          <w:ilvl w:val="0"/>
          <w:numId w:val="40"/>
        </w:numPr>
        <w:spacing w:after="0"/>
        <w:contextualSpacing/>
        <w:jc w:val="both"/>
      </w:pPr>
      <w:r w:rsidRPr="00222CB8">
        <w:t xml:space="preserve">Reglamento de Ejecución (UE) 2026/1731 de la Comisión, de 15 de julio de 2026, por el que se modifican los Reglamentos de Ejecución (UE) 2024/2977, (UE) 2024/2979, (UE) 2024/2980 y (UE) 2024/2982 en lo que respecta a las normas y especificaciones aplicables. </w:t>
      </w:r>
    </w:p>
    <w:p w14:paraId="5F394C60" w14:textId="77777777" w:rsidR="00A70719" w:rsidRPr="00222CB8" w:rsidRDefault="00A70719" w:rsidP="00A70719">
      <w:pPr>
        <w:numPr>
          <w:ilvl w:val="0"/>
          <w:numId w:val="40"/>
        </w:numPr>
        <w:spacing w:after="0"/>
        <w:contextualSpacing/>
        <w:jc w:val="both"/>
      </w:pPr>
      <w:r w:rsidRPr="00222CB8">
        <w:lastRenderedPageBreak/>
        <w:t>Reglamento de Ejecución (UE) 2026/1735 de la Comisión, de 15 de julio de 2026, por el que se modifica el Reglamento de Ejecución (UE) 2025/1569 en lo que respecta a las normas y especificaciones aplicables.</w:t>
      </w:r>
    </w:p>
    <w:p w14:paraId="0A246833" w14:textId="77777777" w:rsidR="0048285C" w:rsidRPr="00222CB8" w:rsidRDefault="0048285C" w:rsidP="00A70719">
      <w:pPr>
        <w:spacing w:after="240"/>
        <w:ind w:firstLine="709"/>
        <w:jc w:val="both"/>
        <w:textAlignment w:val="baseline"/>
        <w:rPr>
          <w:rFonts w:eastAsia="Times New Roman"/>
          <w:spacing w:val="-2"/>
          <w:szCs w:val="20"/>
        </w:rPr>
      </w:pPr>
    </w:p>
    <w:p w14:paraId="47BC8BBC" w14:textId="0723F96C" w:rsidR="00A70719" w:rsidRPr="00222CB8" w:rsidRDefault="00A70719" w:rsidP="00A70719">
      <w:pPr>
        <w:spacing w:after="240"/>
        <w:ind w:firstLine="709"/>
        <w:jc w:val="both"/>
        <w:textAlignment w:val="baseline"/>
        <w:rPr>
          <w:rFonts w:eastAsia="Times New Roman"/>
          <w:spacing w:val="-2"/>
          <w:szCs w:val="20"/>
        </w:rPr>
      </w:pPr>
      <w:r w:rsidRPr="00222CB8">
        <w:rPr>
          <w:rFonts w:eastAsia="Times New Roman"/>
          <w:spacing w:val="-2"/>
          <w:szCs w:val="20"/>
        </w:rPr>
        <w:t>En este sentido, la posición de España en el ámbito europeo es especialmente relevante en este entorno. En el último informe sobre el Índice de Economía y Sociedad Digital (DESI), publicado en el año 2025 por la Comisión Europea, España se sitúa como el quinto Estado miembro de la UE con mejor puntuación en el ranking que valora los servicios públicos digitales a disposición de los ciudadanos, liderando a los países de nuestro entorno con características similares en cuanto a tamaño y complejidad administrativa como Alemania, Francia, Italia, Países Bajos o Portugal.</w:t>
      </w:r>
    </w:p>
    <w:p w14:paraId="27497BB2" w14:textId="77777777" w:rsidR="00A70719" w:rsidRPr="00222CB8" w:rsidRDefault="00A70719" w:rsidP="00A70719">
      <w:pPr>
        <w:spacing w:after="240"/>
        <w:ind w:firstLine="709"/>
        <w:jc w:val="both"/>
        <w:textAlignment w:val="baseline"/>
        <w:rPr>
          <w:rFonts w:eastAsia="Times New Roman"/>
          <w:kern w:val="2"/>
          <w:szCs w:val="20"/>
        </w:rPr>
      </w:pPr>
      <w:r w:rsidRPr="00222CB8">
        <w:rPr>
          <w:rFonts w:eastAsia="Times New Roman"/>
          <w:szCs w:val="20"/>
        </w:rPr>
        <w:t xml:space="preserve">El desarrollo de este real decreto sienta las bases necesarias para la implantación de la cartera digital europea, que además de una obligación para los Estados miembros, supone igualmente una contribución de España al proyecto común europeo. </w:t>
      </w:r>
    </w:p>
    <w:p w14:paraId="491B31AE" w14:textId="77777777" w:rsidR="00A70719" w:rsidRPr="00222CB8" w:rsidRDefault="00A70719" w:rsidP="00A70719">
      <w:pPr>
        <w:spacing w:after="0"/>
        <w:jc w:val="both"/>
        <w:rPr>
          <w:rFonts w:eastAsia="Times New Roman"/>
          <w:b/>
          <w:bCs/>
          <w:szCs w:val="20"/>
          <w:u w:val="single"/>
        </w:rPr>
      </w:pPr>
      <w:r w:rsidRPr="00222CB8">
        <w:rPr>
          <w:rFonts w:eastAsia="Times New Roman"/>
          <w:b/>
          <w:bCs/>
          <w:szCs w:val="20"/>
          <w:u w:val="single"/>
        </w:rPr>
        <w:t xml:space="preserve">2.3 Modificaciones y derogaciones normativas </w:t>
      </w:r>
    </w:p>
    <w:p w14:paraId="334DCE22" w14:textId="77777777" w:rsidR="00A70719" w:rsidRPr="00222CB8" w:rsidRDefault="00A70719" w:rsidP="00A70719">
      <w:pPr>
        <w:spacing w:after="0"/>
        <w:jc w:val="both"/>
        <w:rPr>
          <w:rFonts w:eastAsia="Times New Roman"/>
          <w:szCs w:val="20"/>
          <w:highlight w:val="yellow"/>
          <w:lang w:val="es-ES_tradnl"/>
        </w:rPr>
      </w:pPr>
    </w:p>
    <w:p w14:paraId="4AE9B3BC" w14:textId="77777777" w:rsidR="00A70719" w:rsidRPr="00222CB8" w:rsidRDefault="00A70719" w:rsidP="00A70719">
      <w:pPr>
        <w:spacing w:after="0"/>
        <w:ind w:left="720"/>
        <w:jc w:val="both"/>
        <w:rPr>
          <w:rFonts w:eastAsia="Times New Roman"/>
          <w:szCs w:val="20"/>
        </w:rPr>
      </w:pPr>
      <w:r w:rsidRPr="00222CB8">
        <w:rPr>
          <w:rFonts w:eastAsia="Times New Roman"/>
          <w:szCs w:val="20"/>
        </w:rPr>
        <w:t>El real decreto no modifica ni deroga otra normativa.</w:t>
      </w:r>
    </w:p>
    <w:p w14:paraId="02A114C8" w14:textId="77777777" w:rsidR="00A70719" w:rsidRPr="00222CB8" w:rsidRDefault="00A70719" w:rsidP="00A70719">
      <w:pPr>
        <w:spacing w:after="0"/>
        <w:ind w:left="720"/>
        <w:jc w:val="both"/>
        <w:rPr>
          <w:rFonts w:eastAsia="Times New Roman"/>
          <w:szCs w:val="20"/>
          <w:highlight w:val="yellow"/>
        </w:rPr>
      </w:pPr>
    </w:p>
    <w:p w14:paraId="78A6FC31" w14:textId="77777777" w:rsidR="00A70719" w:rsidRPr="00222CB8" w:rsidRDefault="00A70719" w:rsidP="00A70719">
      <w:pPr>
        <w:spacing w:after="0"/>
        <w:jc w:val="both"/>
        <w:rPr>
          <w:rFonts w:eastAsia="Times New Roman"/>
          <w:b/>
          <w:bCs/>
          <w:szCs w:val="20"/>
          <w:u w:val="single"/>
          <w:lang w:val="es-ES_tradnl"/>
        </w:rPr>
      </w:pPr>
      <w:r w:rsidRPr="00222CB8">
        <w:rPr>
          <w:rFonts w:eastAsia="Times New Roman"/>
          <w:b/>
          <w:bCs/>
          <w:szCs w:val="20"/>
          <w:u w:val="single"/>
          <w:lang w:val="es-ES_tradnl"/>
        </w:rPr>
        <w:t>2.4 Vigencia de la norma y entrada en vigor</w:t>
      </w:r>
    </w:p>
    <w:p w14:paraId="3925E534" w14:textId="77777777" w:rsidR="00A70719" w:rsidRPr="00222CB8" w:rsidRDefault="00A70719" w:rsidP="00A70719">
      <w:pPr>
        <w:spacing w:after="0"/>
        <w:ind w:left="720"/>
        <w:jc w:val="both"/>
        <w:rPr>
          <w:rFonts w:eastAsia="Times New Roman"/>
          <w:b/>
          <w:bCs/>
          <w:szCs w:val="20"/>
          <w:highlight w:val="yellow"/>
          <w:u w:val="single"/>
          <w:lang w:val="es-ES_tradnl"/>
        </w:rPr>
      </w:pPr>
    </w:p>
    <w:p w14:paraId="7DD6E0F7" w14:textId="77777777" w:rsidR="00A70719" w:rsidRPr="00222CB8" w:rsidRDefault="00A70719" w:rsidP="00A70719">
      <w:pPr>
        <w:spacing w:after="0"/>
        <w:ind w:firstLine="709"/>
        <w:jc w:val="both"/>
        <w:rPr>
          <w:rFonts w:eastAsia="Times New Roman"/>
          <w:szCs w:val="20"/>
        </w:rPr>
      </w:pPr>
      <w:bookmarkStart w:id="2" w:name="_Hlk152005660"/>
      <w:r w:rsidRPr="00222CB8">
        <w:rPr>
          <w:rFonts w:eastAsia="Times New Roman"/>
          <w:szCs w:val="20"/>
        </w:rPr>
        <w:t>De acuerdo con lo previsto en la Disposición final tercera del real decreto, este entrará en vigor el día siguiente al de su publicación en el “Boletín Oficial del Estado”. Dado que el Reglamento europeo no establece un plazo de vigencia temporal, este real decreto que lo desarrolla en España tiene una vigencia indefinida.</w:t>
      </w:r>
    </w:p>
    <w:bookmarkEnd w:id="2"/>
    <w:p w14:paraId="37816535" w14:textId="77777777" w:rsidR="00A70719" w:rsidRPr="00222CB8" w:rsidRDefault="00A70719" w:rsidP="00A70719">
      <w:pPr>
        <w:spacing w:after="0"/>
        <w:ind w:firstLine="709"/>
        <w:jc w:val="both"/>
        <w:rPr>
          <w:rFonts w:eastAsia="Times New Roman"/>
          <w:szCs w:val="20"/>
        </w:rPr>
      </w:pPr>
    </w:p>
    <w:p w14:paraId="7A14774B" w14:textId="31ADE0D6" w:rsidR="00A70719" w:rsidRPr="00222CB8" w:rsidRDefault="00A70719" w:rsidP="00A70719">
      <w:pPr>
        <w:spacing w:after="0"/>
        <w:ind w:firstLine="709"/>
        <w:jc w:val="both"/>
        <w:rPr>
          <w:rFonts w:eastAsia="Times New Roman"/>
          <w:szCs w:val="20"/>
        </w:rPr>
      </w:pPr>
      <w:r w:rsidRPr="00222CB8">
        <w:rPr>
          <w:rFonts w:eastAsia="Times New Roman"/>
          <w:szCs w:val="20"/>
        </w:rPr>
        <w:t>Asimismo, es relevante señalar que la utilización de la cartera digital es voluntaria en todo caso, por lo que no impone nuevas obligaciones a las personas físicas o jurídicas que desempeñen una actividad económica o profesional, y, en consecuencia, no aplican las previsiones del artículo 23 de la Ley 50/1997, de 27 de noviembre, del Gobierno</w:t>
      </w:r>
      <w:r w:rsidR="00537DF1" w:rsidRPr="00222CB8">
        <w:rPr>
          <w:rFonts w:eastAsia="Times New Roman"/>
          <w:szCs w:val="20"/>
        </w:rPr>
        <w:t xml:space="preserve"> (LG, en adelante).</w:t>
      </w:r>
    </w:p>
    <w:p w14:paraId="7E317EAA" w14:textId="77777777" w:rsidR="00A70719" w:rsidRPr="00222CB8" w:rsidRDefault="00A70719" w:rsidP="00A70719">
      <w:pPr>
        <w:spacing w:after="0"/>
        <w:ind w:firstLine="709"/>
        <w:jc w:val="both"/>
        <w:rPr>
          <w:rFonts w:eastAsia="Times New Roman"/>
          <w:szCs w:val="20"/>
        </w:rPr>
      </w:pPr>
    </w:p>
    <w:p w14:paraId="4BD53ADD" w14:textId="77777777" w:rsidR="00A70719" w:rsidRPr="00222CB8" w:rsidRDefault="00A70719" w:rsidP="00A70719">
      <w:pPr>
        <w:spacing w:after="0"/>
        <w:jc w:val="both"/>
        <w:rPr>
          <w:rFonts w:eastAsia="Times New Roman"/>
          <w:b/>
          <w:bCs/>
          <w:szCs w:val="20"/>
          <w:u w:val="single"/>
          <w:lang w:val="es-ES_tradnl"/>
        </w:rPr>
      </w:pPr>
      <w:r w:rsidRPr="00222CB8">
        <w:rPr>
          <w:rFonts w:eastAsia="Times New Roman"/>
          <w:b/>
          <w:bCs/>
          <w:szCs w:val="20"/>
          <w:u w:val="single"/>
          <w:lang w:val="es-ES_tradnl"/>
        </w:rPr>
        <w:t>2.5 Potestad de desarrollo reglamentario</w:t>
      </w:r>
    </w:p>
    <w:p w14:paraId="4E401AE8" w14:textId="77777777" w:rsidR="00A70719" w:rsidRPr="00222CB8" w:rsidRDefault="00A70719" w:rsidP="00A70719">
      <w:pPr>
        <w:spacing w:after="0"/>
        <w:ind w:left="720"/>
        <w:jc w:val="both"/>
        <w:rPr>
          <w:rFonts w:eastAsia="Times New Roman"/>
          <w:b/>
          <w:bCs/>
          <w:szCs w:val="20"/>
          <w:highlight w:val="yellow"/>
          <w:u w:val="single"/>
          <w:lang w:val="es-ES_tradnl"/>
        </w:rPr>
      </w:pPr>
    </w:p>
    <w:p w14:paraId="1A15CBDE" w14:textId="7DB3FF02" w:rsidR="006E36E7" w:rsidRPr="00222CB8" w:rsidRDefault="006E36E7" w:rsidP="006E36E7">
      <w:pPr>
        <w:spacing w:after="0"/>
        <w:ind w:firstLine="709"/>
        <w:jc w:val="both"/>
        <w:rPr>
          <w:rFonts w:eastAsia="Times New Roman"/>
          <w:szCs w:val="20"/>
        </w:rPr>
      </w:pPr>
      <w:r w:rsidRPr="00222CB8">
        <w:rPr>
          <w:rFonts w:eastAsia="Times New Roman"/>
          <w:szCs w:val="20"/>
        </w:rPr>
        <w:t>De acuerdo con lo previsto en la disposición final segunda, el real decreto autoriza a la persona titular del Ministerio para la Transformación Digital y de la Función Pública para que dicte cuantas disposiciones sean necesarias para el desarrollo y ejecución de lo previsto en el mismo.</w:t>
      </w:r>
    </w:p>
    <w:p w14:paraId="60ED8EE6" w14:textId="5348201B" w:rsidR="006E36E7" w:rsidRPr="00222CB8" w:rsidRDefault="006E36E7" w:rsidP="006E36E7">
      <w:pPr>
        <w:spacing w:after="0"/>
        <w:ind w:firstLine="709"/>
        <w:jc w:val="both"/>
        <w:rPr>
          <w:rFonts w:eastAsia="Times New Roman"/>
          <w:szCs w:val="20"/>
        </w:rPr>
      </w:pPr>
      <w:r w:rsidRPr="00222CB8">
        <w:rPr>
          <w:rFonts w:eastAsia="Times New Roman"/>
          <w:szCs w:val="20"/>
        </w:rPr>
        <w:t xml:space="preserve">Por otra parte, en lo que concierne específicamente al registro de partes usuarias regulado en el artículo 11, su apartado 8 establece que por orden de la persona titular del Ministerio para la Transformación Digital y de la Función Pública se regularán los requisitos y condiciones para el funcionamiento del Registro y el procedimiento de inscripción, modificación, suspensión y cancelación de sus asientos, en desarrollo de lo previsto en el artículo 5.ter del Reglamento (UE) </w:t>
      </w:r>
      <w:proofErr w:type="spellStart"/>
      <w:r w:rsidRPr="00222CB8">
        <w:rPr>
          <w:rFonts w:eastAsia="Times New Roman"/>
          <w:szCs w:val="20"/>
        </w:rPr>
        <w:t>Nº</w:t>
      </w:r>
      <w:proofErr w:type="spellEnd"/>
      <w:r w:rsidRPr="00222CB8">
        <w:rPr>
          <w:rFonts w:eastAsia="Times New Roman"/>
          <w:szCs w:val="20"/>
        </w:rPr>
        <w:t xml:space="preserve"> 910/2014, el Reglamento de Ejecución (UE) 2025/848, modificado por el Reglamento de Ejecución (UE) 2026/1730 y en este real decreto. </w:t>
      </w:r>
    </w:p>
    <w:p w14:paraId="314F5FAC" w14:textId="77777777" w:rsidR="00A70719" w:rsidRPr="00A70719" w:rsidRDefault="00A70719" w:rsidP="00A70719">
      <w:pPr>
        <w:suppressAutoHyphens/>
        <w:spacing w:after="0"/>
        <w:jc w:val="both"/>
        <w:rPr>
          <w:rFonts w:eastAsia="Times New Roman"/>
          <w:kern w:val="1"/>
          <w:szCs w:val="20"/>
          <w:highlight w:val="yellow"/>
        </w:rPr>
      </w:pPr>
    </w:p>
    <w:p w14:paraId="4D1627F8" w14:textId="77777777" w:rsidR="00A70719" w:rsidRPr="00A70719" w:rsidRDefault="00A70719" w:rsidP="00A70719">
      <w:pPr>
        <w:shd w:val="clear" w:color="auto" w:fill="000080"/>
        <w:spacing w:after="0"/>
        <w:ind w:right="-68"/>
        <w:jc w:val="both"/>
        <w:rPr>
          <w:rFonts w:eastAsia="Times New Roman"/>
          <w:b/>
          <w:bCs/>
          <w:kern w:val="1"/>
          <w:szCs w:val="20"/>
          <w:lang w:val="es-ES_tradnl"/>
        </w:rPr>
      </w:pPr>
      <w:r w:rsidRPr="00A70719">
        <w:rPr>
          <w:rFonts w:eastAsia="Times New Roman"/>
          <w:b/>
          <w:bCs/>
          <w:kern w:val="1"/>
          <w:szCs w:val="20"/>
          <w:lang w:val="es-ES_tradnl"/>
        </w:rPr>
        <w:t>III.- ADECUACIÓN DE LA NORMA AL ORDEN DE DISTRIBUCIÓN DE COMPETENCIAS</w:t>
      </w:r>
    </w:p>
    <w:p w14:paraId="660830CE" w14:textId="77777777" w:rsidR="00A70719" w:rsidRPr="00A70719" w:rsidRDefault="00A70719" w:rsidP="00A70719">
      <w:pPr>
        <w:spacing w:after="0"/>
        <w:jc w:val="both"/>
        <w:rPr>
          <w:rFonts w:eastAsia="Times New Roman"/>
          <w:szCs w:val="20"/>
          <w:highlight w:val="yellow"/>
        </w:rPr>
      </w:pPr>
    </w:p>
    <w:p w14:paraId="63453543"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lastRenderedPageBreak/>
        <w:t>Este real decreto se dicta al amparo de los siguientes títulos de competencia exclusiva estatal establecidos en el artículo 149.1 de la Constitución:</w:t>
      </w:r>
    </w:p>
    <w:p w14:paraId="711930CA" w14:textId="77777777" w:rsidR="00A70719" w:rsidRPr="00A70719" w:rsidRDefault="00A70719" w:rsidP="00A70719">
      <w:pPr>
        <w:numPr>
          <w:ilvl w:val="0"/>
          <w:numId w:val="37"/>
        </w:numPr>
        <w:spacing w:after="0"/>
        <w:jc w:val="both"/>
        <w:rPr>
          <w:rFonts w:eastAsia="Times New Roman"/>
          <w:szCs w:val="20"/>
        </w:rPr>
      </w:pPr>
      <w:r w:rsidRPr="00A70719">
        <w:rPr>
          <w:rFonts w:eastAsia="Times New Roman"/>
          <w:szCs w:val="20"/>
        </w:rPr>
        <w:t>Artículo 149.</w:t>
      </w:r>
      <w:proofErr w:type="gramStart"/>
      <w:r w:rsidRPr="00A70719">
        <w:rPr>
          <w:rFonts w:eastAsia="Times New Roman"/>
          <w:szCs w:val="20"/>
        </w:rPr>
        <w:t>1.18.ª</w:t>
      </w:r>
      <w:proofErr w:type="gramEnd"/>
      <w:r w:rsidRPr="00A70719">
        <w:rPr>
          <w:rFonts w:eastAsia="Times New Roman"/>
          <w:szCs w:val="20"/>
        </w:rPr>
        <w:t>: Bases del régimen jurídico de las Administraciones Públicas y del procedimiento administrativo común.</w:t>
      </w:r>
    </w:p>
    <w:p w14:paraId="6E71B356" w14:textId="77777777" w:rsidR="00A70719" w:rsidRPr="00A70719" w:rsidRDefault="00A70719" w:rsidP="00A70719">
      <w:pPr>
        <w:numPr>
          <w:ilvl w:val="0"/>
          <w:numId w:val="37"/>
        </w:numPr>
        <w:spacing w:after="0"/>
        <w:jc w:val="both"/>
        <w:rPr>
          <w:rFonts w:eastAsia="Times New Roman"/>
          <w:szCs w:val="20"/>
        </w:rPr>
      </w:pPr>
      <w:r w:rsidRPr="00A70719">
        <w:rPr>
          <w:rFonts w:eastAsia="Times New Roman"/>
          <w:szCs w:val="20"/>
        </w:rPr>
        <w:t>Artículo 149.</w:t>
      </w:r>
      <w:proofErr w:type="gramStart"/>
      <w:r w:rsidRPr="00A70719">
        <w:rPr>
          <w:rFonts w:eastAsia="Times New Roman"/>
          <w:szCs w:val="20"/>
        </w:rPr>
        <w:t>1.21.ª</w:t>
      </w:r>
      <w:proofErr w:type="gramEnd"/>
      <w:r w:rsidRPr="00A70719">
        <w:rPr>
          <w:rFonts w:eastAsia="Times New Roman"/>
          <w:szCs w:val="20"/>
        </w:rPr>
        <w:t>: Telecomunicaciones.</w:t>
      </w:r>
    </w:p>
    <w:p w14:paraId="1AF9D11F" w14:textId="77777777" w:rsidR="00A70719" w:rsidRPr="00A70719" w:rsidRDefault="00A70719" w:rsidP="00A70719">
      <w:pPr>
        <w:numPr>
          <w:ilvl w:val="0"/>
          <w:numId w:val="37"/>
        </w:numPr>
        <w:spacing w:after="0"/>
        <w:jc w:val="both"/>
        <w:rPr>
          <w:rFonts w:eastAsia="Times New Roman"/>
          <w:szCs w:val="20"/>
        </w:rPr>
      </w:pPr>
      <w:r w:rsidRPr="00A70719">
        <w:rPr>
          <w:rFonts w:eastAsia="Times New Roman"/>
          <w:szCs w:val="20"/>
        </w:rPr>
        <w:t>Artículo 149.</w:t>
      </w:r>
      <w:proofErr w:type="gramStart"/>
      <w:r w:rsidRPr="00A70719">
        <w:rPr>
          <w:rFonts w:eastAsia="Times New Roman"/>
          <w:szCs w:val="20"/>
        </w:rPr>
        <w:t>1.29.ª</w:t>
      </w:r>
      <w:proofErr w:type="gramEnd"/>
      <w:r w:rsidRPr="00A70719">
        <w:rPr>
          <w:rFonts w:eastAsia="Times New Roman"/>
          <w:szCs w:val="20"/>
        </w:rPr>
        <w:t>: Seguridad pública.</w:t>
      </w:r>
    </w:p>
    <w:p w14:paraId="7CD854DF" w14:textId="77777777" w:rsidR="00A70719" w:rsidRPr="00A70719" w:rsidRDefault="00A70719" w:rsidP="00A70719">
      <w:pPr>
        <w:spacing w:after="0"/>
        <w:jc w:val="both"/>
        <w:rPr>
          <w:rFonts w:eastAsia="Times New Roman"/>
          <w:szCs w:val="20"/>
        </w:rPr>
      </w:pPr>
    </w:p>
    <w:p w14:paraId="123CDB36"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t>La naturaleza transversal de la Cartera Europea de Identidad Digital requiere una aplicación conjunta de estos títulos para garantizar un marco normativo coherente y seguro.</w:t>
      </w:r>
    </w:p>
    <w:p w14:paraId="43B2652F"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t>El título previsto en el art. 149.</w:t>
      </w:r>
      <w:proofErr w:type="gramStart"/>
      <w:r w:rsidRPr="00A70719">
        <w:rPr>
          <w:rFonts w:eastAsia="Times New Roman"/>
          <w:szCs w:val="20"/>
        </w:rPr>
        <w:t>1.18.ª</w:t>
      </w:r>
      <w:proofErr w:type="gramEnd"/>
      <w:r w:rsidRPr="00A70719">
        <w:rPr>
          <w:rFonts w:eastAsia="Times New Roman"/>
          <w:szCs w:val="20"/>
        </w:rPr>
        <w:t xml:space="preserve"> fundamenta la regulación de la Cartera y del Dato de Identificación de la Persona (PID) en tanto que establecen las condiciones básicas de identificación de los ciudadanos ante el sector público, asegurando que el ejercicio de los derechos digitales sea uniforme en todo el territorio nacional y en el procedimiento administrativo común.</w:t>
      </w:r>
    </w:p>
    <w:p w14:paraId="2DE08940"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t>Por su parte, los títulos 21.ª y 29.ª amparan la intervención del Estado en la fijación de los requisitos de ciberseguridad y la gestión técnica de los sistemas de información. La identidad digital oficial es hoy un componente crítico de la seguridad pública, ya que un sistema vulnerable permitiría la usurpación de identidad a gran escala; asimismo, la integridad de las transacciones electrónicas transfronterizas es inherente al régimen general de las telecomunicaciones. Estas competencias justifican las funciones atribuidas al Centro Criptológico Nacional (CCN) como organismo de certificación y la supervisión técnica del ecosistema.</w:t>
      </w:r>
    </w:p>
    <w:p w14:paraId="19FE398A"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t>La norma se fundamenta en la potestad de autoorganización del Estado, necesaria para distribuir funciones entre órganos existentes (como la AEAD, la DGOSDCA, el CCN y la DGP) para cumplir con el mandato imperativo del Reglamento (UE) 2024/1183. Siguiendo</w:t>
      </w:r>
      <w:r w:rsidRPr="00A70719">
        <w:rPr>
          <w:rFonts w:eastAsia="Times New Roman"/>
          <w:szCs w:val="20"/>
          <w:lang w:val="es-ES_tradnl"/>
        </w:rPr>
        <w:t xml:space="preserve"> la doctrina del Tribunal Constitucional en su Sentencia 95/84 (FJ 4),</w:t>
      </w:r>
      <w:r w:rsidRPr="00A70719">
        <w:rPr>
          <w:rFonts w:eastAsia="Times New Roman"/>
          <w:szCs w:val="20"/>
        </w:rPr>
        <w:t xml:space="preserve"> este real decreto constituye una norma de organización que distribuye competencias de las que el Estado ya es titular, sin alterar el orden competencial general, con el fin de ejercerlas de forma coordinada en cumplimiento del derecho de la Unión Europea.</w:t>
      </w:r>
    </w:p>
    <w:p w14:paraId="48F21C14" w14:textId="77777777" w:rsidR="00A70719" w:rsidRDefault="00A70719" w:rsidP="00A70719">
      <w:pPr>
        <w:spacing w:after="0"/>
        <w:ind w:firstLine="709"/>
        <w:jc w:val="both"/>
        <w:rPr>
          <w:rFonts w:eastAsia="Times New Roman"/>
          <w:szCs w:val="20"/>
        </w:rPr>
      </w:pPr>
      <w:r w:rsidRPr="00A70719">
        <w:rPr>
          <w:rFonts w:eastAsia="Times New Roman"/>
          <w:szCs w:val="20"/>
        </w:rPr>
        <w:t>El Estado, haciendo uso de su competencia sobre las bases, establece los estándares técnicos, de seguridad y de gobernanza mínimos necesarios para garantizar la interoperabilidad nacional y transfronteriza y evitar la fragmentación del mercado único digital.</w:t>
      </w:r>
    </w:p>
    <w:p w14:paraId="6B250BCA" w14:textId="77777777" w:rsidR="00466586" w:rsidRPr="00A70719" w:rsidRDefault="00466586" w:rsidP="00A70719">
      <w:pPr>
        <w:spacing w:after="0"/>
        <w:ind w:firstLine="709"/>
        <w:jc w:val="both"/>
        <w:rPr>
          <w:rFonts w:eastAsia="Times New Roman"/>
          <w:szCs w:val="20"/>
        </w:rPr>
      </w:pPr>
    </w:p>
    <w:p w14:paraId="47E86B73" w14:textId="77777777" w:rsidR="00A70719" w:rsidRPr="00A70719" w:rsidRDefault="00A70719" w:rsidP="00A70719">
      <w:pPr>
        <w:shd w:val="clear" w:color="auto" w:fill="000080"/>
        <w:spacing w:after="0"/>
        <w:ind w:right="-68"/>
        <w:jc w:val="both"/>
        <w:rPr>
          <w:rFonts w:eastAsia="Times New Roman"/>
          <w:b/>
          <w:bCs/>
          <w:kern w:val="1"/>
          <w:szCs w:val="20"/>
          <w:lang w:val="es-ES_tradnl"/>
        </w:rPr>
      </w:pPr>
      <w:r w:rsidRPr="00A70719">
        <w:rPr>
          <w:rFonts w:eastAsia="Times New Roman"/>
          <w:b/>
          <w:bCs/>
          <w:kern w:val="1"/>
          <w:szCs w:val="20"/>
          <w:lang w:val="es-ES_tradnl"/>
        </w:rPr>
        <w:t>IV.- DESCRIPCIÓN DE LA TRAMITACIÓN</w:t>
      </w:r>
    </w:p>
    <w:p w14:paraId="3A6EF1FF" w14:textId="77777777" w:rsidR="00A70719" w:rsidRDefault="00A70719" w:rsidP="00A70719">
      <w:pPr>
        <w:suppressAutoHyphens/>
        <w:overflowPunct w:val="0"/>
        <w:autoSpaceDE w:val="0"/>
        <w:autoSpaceDN w:val="0"/>
        <w:adjustRightInd w:val="0"/>
        <w:ind w:left="360"/>
        <w:contextualSpacing/>
        <w:jc w:val="both"/>
        <w:rPr>
          <w:rFonts w:eastAsia="Calibri"/>
          <w:b/>
          <w:bCs/>
          <w:szCs w:val="20"/>
          <w:highlight w:val="yellow"/>
          <w:lang w:val="es-ES_tradnl" w:eastAsia="en-US"/>
        </w:rPr>
      </w:pPr>
    </w:p>
    <w:p w14:paraId="3B6B7E52" w14:textId="5DDC2261" w:rsidR="00466586" w:rsidRPr="00222CB8" w:rsidRDefault="00466586" w:rsidP="00466586">
      <w:pPr>
        <w:numPr>
          <w:ilvl w:val="0"/>
          <w:numId w:val="26"/>
        </w:numPr>
        <w:suppressAutoHyphens/>
        <w:overflowPunct w:val="0"/>
        <w:autoSpaceDE w:val="0"/>
        <w:autoSpaceDN w:val="0"/>
        <w:adjustRightInd w:val="0"/>
        <w:spacing w:after="0"/>
        <w:contextualSpacing/>
        <w:jc w:val="both"/>
        <w:rPr>
          <w:rFonts w:eastAsia="Calibri"/>
          <w:b/>
          <w:bCs/>
          <w:szCs w:val="20"/>
          <w:lang w:val="es-ES_tradnl" w:eastAsia="en-US"/>
        </w:rPr>
      </w:pPr>
      <w:r w:rsidRPr="00222CB8">
        <w:rPr>
          <w:rFonts w:eastAsia="Calibri"/>
          <w:b/>
          <w:bCs/>
          <w:szCs w:val="20"/>
          <w:lang w:val="es-ES_tradnl" w:eastAsia="en-US"/>
        </w:rPr>
        <w:t>Tramitación de urgencia.</w:t>
      </w:r>
    </w:p>
    <w:p w14:paraId="1CDB94F4" w14:textId="77777777" w:rsidR="00466586" w:rsidRPr="00222CB8" w:rsidRDefault="00466586" w:rsidP="00466586">
      <w:pPr>
        <w:suppressAutoHyphens/>
        <w:overflowPunct w:val="0"/>
        <w:autoSpaceDE w:val="0"/>
        <w:autoSpaceDN w:val="0"/>
        <w:adjustRightInd w:val="0"/>
        <w:spacing w:after="0"/>
        <w:contextualSpacing/>
        <w:jc w:val="both"/>
        <w:rPr>
          <w:rFonts w:eastAsia="Calibri"/>
          <w:b/>
          <w:bCs/>
          <w:szCs w:val="20"/>
          <w:highlight w:val="yellow"/>
          <w:lang w:val="es-ES_tradnl" w:eastAsia="en-US"/>
        </w:rPr>
      </w:pPr>
    </w:p>
    <w:p w14:paraId="3DFFC425" w14:textId="22E2899A" w:rsidR="00466586" w:rsidRPr="00222CB8" w:rsidRDefault="00466586" w:rsidP="008D2666">
      <w:pPr>
        <w:suppressAutoHyphens/>
        <w:overflowPunct w:val="0"/>
        <w:autoSpaceDE w:val="0"/>
        <w:autoSpaceDN w:val="0"/>
        <w:adjustRightInd w:val="0"/>
        <w:spacing w:after="0"/>
        <w:ind w:left="360" w:firstLine="360"/>
        <w:contextualSpacing/>
        <w:jc w:val="both"/>
        <w:rPr>
          <w:rFonts w:eastAsia="Calibri"/>
          <w:szCs w:val="20"/>
          <w:lang w:val="es-ES_tradnl" w:eastAsia="en-US"/>
        </w:rPr>
      </w:pPr>
      <w:r w:rsidRPr="00222CB8">
        <w:rPr>
          <w:rFonts w:eastAsia="Calibri"/>
          <w:szCs w:val="20"/>
          <w:lang w:val="es-ES_tradnl" w:eastAsia="en-US"/>
        </w:rPr>
        <w:t xml:space="preserve">De acuerdo con lo previsto en el apartado 1 del artículo 5.bis del Reglamento (UE) </w:t>
      </w:r>
      <w:proofErr w:type="spellStart"/>
      <w:r w:rsidRPr="00222CB8">
        <w:rPr>
          <w:rFonts w:eastAsia="Calibri"/>
          <w:szCs w:val="20"/>
          <w:lang w:val="es-ES_tradnl" w:eastAsia="en-US"/>
        </w:rPr>
        <w:t>Nº</w:t>
      </w:r>
      <w:proofErr w:type="spellEnd"/>
      <w:r w:rsidRPr="00222CB8">
        <w:rPr>
          <w:rFonts w:eastAsia="Calibri"/>
          <w:szCs w:val="20"/>
          <w:lang w:val="es-ES_tradnl" w:eastAsia="en-US"/>
        </w:rPr>
        <w:t xml:space="preserve"> 910/2014, en su texto consolidado, “</w:t>
      </w:r>
      <w:r w:rsidRPr="00222CB8">
        <w:rPr>
          <w:rFonts w:eastAsia="Calibri"/>
          <w:i/>
          <w:iCs/>
          <w:szCs w:val="20"/>
          <w:lang w:val="es-ES_tradnl" w:eastAsia="en-US"/>
        </w:rPr>
        <w:t xml:space="preserve">A los efectos de garantizar que todas las personas físicas y jurídicas dispongan de un acceso transfronterizo seguro, de confianza y sin incidencias a servicios públicos y privados en la Unión, manteniendo al mismo tiempo el pleno control sobre sus datos, cada Estado miembro proporcionará al menos una cartera europea de identidad digital en los veinticuatro meses siguientes a la entrada en vigor de los actos de ejecución a que se refieren el apartado 23 del presente artículo y el artículo 5 </w:t>
      </w:r>
      <w:proofErr w:type="spellStart"/>
      <w:r w:rsidRPr="00222CB8">
        <w:rPr>
          <w:rFonts w:eastAsia="Calibri"/>
          <w:i/>
          <w:iCs/>
          <w:szCs w:val="20"/>
          <w:lang w:val="es-ES_tradnl" w:eastAsia="en-US"/>
        </w:rPr>
        <w:t>quater</w:t>
      </w:r>
      <w:proofErr w:type="spellEnd"/>
      <w:r w:rsidRPr="00222CB8">
        <w:rPr>
          <w:rFonts w:eastAsia="Calibri"/>
          <w:i/>
          <w:iCs/>
          <w:szCs w:val="20"/>
          <w:lang w:val="es-ES_tradnl" w:eastAsia="en-US"/>
        </w:rPr>
        <w:t>, apartado 6</w:t>
      </w:r>
      <w:r w:rsidRPr="00222CB8">
        <w:rPr>
          <w:rFonts w:eastAsia="Calibri"/>
          <w:szCs w:val="20"/>
          <w:lang w:val="es-ES_tradnl" w:eastAsia="en-US"/>
        </w:rPr>
        <w:t xml:space="preserve">.”. Esa fecha es el 24 de diciembre de 2026 de acuerdo con lo previsto en los cinco reglamentos o actos de ejecución a que se refieren ambos preceptos, todos ellos publicados en su versión inicial el 4 de diciembre de 2024 con una </w:t>
      </w:r>
      <w:proofErr w:type="spellStart"/>
      <w:r w:rsidRPr="00222CB8">
        <w:rPr>
          <w:rFonts w:eastAsia="Calibri"/>
          <w:i/>
          <w:iCs/>
          <w:szCs w:val="20"/>
          <w:lang w:val="es-ES_tradnl" w:eastAsia="en-US"/>
        </w:rPr>
        <w:t>vacatio</w:t>
      </w:r>
      <w:proofErr w:type="spellEnd"/>
      <w:r w:rsidRPr="00222CB8">
        <w:rPr>
          <w:rFonts w:eastAsia="Calibri"/>
          <w:i/>
          <w:iCs/>
          <w:szCs w:val="20"/>
          <w:lang w:val="es-ES_tradnl" w:eastAsia="en-US"/>
        </w:rPr>
        <w:t xml:space="preserve"> </w:t>
      </w:r>
      <w:proofErr w:type="spellStart"/>
      <w:r w:rsidRPr="00222CB8">
        <w:rPr>
          <w:rFonts w:eastAsia="Calibri"/>
          <w:i/>
          <w:iCs/>
          <w:szCs w:val="20"/>
          <w:lang w:val="es-ES_tradnl" w:eastAsia="en-US"/>
        </w:rPr>
        <w:t>legis</w:t>
      </w:r>
      <w:proofErr w:type="spellEnd"/>
      <w:r w:rsidRPr="00222CB8">
        <w:rPr>
          <w:rFonts w:eastAsia="Calibri"/>
          <w:szCs w:val="20"/>
          <w:lang w:val="es-ES_tradnl" w:eastAsia="en-US"/>
        </w:rPr>
        <w:t xml:space="preserve"> de 20 días. En concreto se trata de los Reglamentos de ejecución (ya </w:t>
      </w:r>
      <w:r w:rsidRPr="00222CB8">
        <w:rPr>
          <w:rFonts w:eastAsia="Calibri"/>
          <w:szCs w:val="20"/>
          <w:lang w:val="es-ES_tradnl" w:eastAsia="en-US"/>
        </w:rPr>
        <w:lastRenderedPageBreak/>
        <w:t>detallados en el epígrafe 2.2 del apar</w:t>
      </w:r>
      <w:r w:rsidR="008D2666" w:rsidRPr="00222CB8">
        <w:rPr>
          <w:rFonts w:eastAsia="Calibri"/>
          <w:szCs w:val="20"/>
          <w:lang w:val="es-ES_tradnl" w:eastAsia="en-US"/>
        </w:rPr>
        <w:t>t</w:t>
      </w:r>
      <w:r w:rsidRPr="00222CB8">
        <w:rPr>
          <w:rFonts w:eastAsia="Calibri"/>
          <w:szCs w:val="20"/>
          <w:lang w:val="es-ES_tradnl" w:eastAsia="en-US"/>
        </w:rPr>
        <w:t>ado 2 (Análisis jurídico) de esta memoria</w:t>
      </w:r>
      <w:r w:rsidR="008D2666" w:rsidRPr="00222CB8">
        <w:rPr>
          <w:rFonts w:eastAsia="Calibri"/>
          <w:szCs w:val="20"/>
          <w:lang w:val="es-ES_tradnl" w:eastAsia="en-US"/>
        </w:rPr>
        <w:t xml:space="preserve">) </w:t>
      </w:r>
      <w:r w:rsidRPr="00222CB8">
        <w:rPr>
          <w:rFonts w:eastAsia="Calibri"/>
          <w:szCs w:val="20"/>
          <w:lang w:val="es-ES_tradnl" w:eastAsia="en-US"/>
        </w:rPr>
        <w:t>2024/2977</w:t>
      </w:r>
      <w:r w:rsidR="008D2666" w:rsidRPr="00222CB8">
        <w:rPr>
          <w:rFonts w:eastAsia="Calibri"/>
          <w:szCs w:val="20"/>
          <w:lang w:val="es-ES_tradnl" w:eastAsia="en-US"/>
        </w:rPr>
        <w:t>,</w:t>
      </w:r>
      <w:r w:rsidRPr="00222CB8">
        <w:rPr>
          <w:rFonts w:eastAsia="Calibri"/>
          <w:szCs w:val="20"/>
          <w:lang w:val="es-ES_tradnl" w:eastAsia="en-US"/>
        </w:rPr>
        <w:t xml:space="preserve"> 2024/2979</w:t>
      </w:r>
      <w:r w:rsidR="008D2666" w:rsidRPr="00222CB8">
        <w:rPr>
          <w:rFonts w:eastAsia="Calibri"/>
          <w:szCs w:val="20"/>
          <w:lang w:val="es-ES_tradnl" w:eastAsia="en-US"/>
        </w:rPr>
        <w:t xml:space="preserve">, </w:t>
      </w:r>
      <w:r w:rsidRPr="00222CB8">
        <w:rPr>
          <w:rFonts w:eastAsia="Calibri"/>
          <w:szCs w:val="20"/>
          <w:lang w:val="es-ES_tradnl" w:eastAsia="en-US"/>
        </w:rPr>
        <w:t>2024/2980</w:t>
      </w:r>
      <w:r w:rsidR="008D2666" w:rsidRPr="00222CB8">
        <w:rPr>
          <w:rFonts w:eastAsia="Calibri"/>
          <w:szCs w:val="20"/>
          <w:lang w:val="es-ES_tradnl" w:eastAsia="en-US"/>
        </w:rPr>
        <w:t>,</w:t>
      </w:r>
      <w:r w:rsidRPr="00222CB8">
        <w:rPr>
          <w:rFonts w:eastAsia="Calibri"/>
          <w:szCs w:val="20"/>
          <w:lang w:val="es-ES_tradnl" w:eastAsia="en-US"/>
        </w:rPr>
        <w:t xml:space="preserve"> 2024/2981 </w:t>
      </w:r>
      <w:r w:rsidR="008D2666" w:rsidRPr="00222CB8">
        <w:rPr>
          <w:rFonts w:eastAsia="Calibri"/>
          <w:szCs w:val="20"/>
          <w:lang w:val="es-ES_tradnl" w:eastAsia="en-US"/>
        </w:rPr>
        <w:t xml:space="preserve">y </w:t>
      </w:r>
      <w:r w:rsidRPr="00222CB8">
        <w:rPr>
          <w:rFonts w:eastAsia="Calibri"/>
          <w:szCs w:val="20"/>
          <w:lang w:val="es-ES_tradnl" w:eastAsia="en-US"/>
        </w:rPr>
        <w:t>2024/2982.</w:t>
      </w:r>
    </w:p>
    <w:p w14:paraId="1ABD87B6" w14:textId="77777777" w:rsidR="00466586" w:rsidRPr="00222CB8" w:rsidRDefault="00466586" w:rsidP="00466586">
      <w:pPr>
        <w:suppressAutoHyphens/>
        <w:overflowPunct w:val="0"/>
        <w:autoSpaceDE w:val="0"/>
        <w:autoSpaceDN w:val="0"/>
        <w:adjustRightInd w:val="0"/>
        <w:spacing w:after="0"/>
        <w:ind w:left="360"/>
        <w:contextualSpacing/>
        <w:jc w:val="both"/>
        <w:rPr>
          <w:rFonts w:eastAsia="Calibri"/>
          <w:szCs w:val="20"/>
          <w:lang w:val="es-ES_tradnl" w:eastAsia="en-US"/>
        </w:rPr>
      </w:pPr>
    </w:p>
    <w:p w14:paraId="1814A532" w14:textId="77777777" w:rsidR="00466586" w:rsidRPr="00222CB8" w:rsidRDefault="00466586" w:rsidP="00513025">
      <w:pPr>
        <w:suppressAutoHyphens/>
        <w:overflowPunct w:val="0"/>
        <w:autoSpaceDE w:val="0"/>
        <w:autoSpaceDN w:val="0"/>
        <w:adjustRightInd w:val="0"/>
        <w:spacing w:after="0"/>
        <w:ind w:left="360" w:firstLine="360"/>
        <w:contextualSpacing/>
        <w:jc w:val="both"/>
        <w:rPr>
          <w:rFonts w:eastAsia="Calibri"/>
          <w:szCs w:val="20"/>
          <w:lang w:val="es-ES_tradnl" w:eastAsia="en-US"/>
        </w:rPr>
      </w:pPr>
      <w:r w:rsidRPr="00222CB8">
        <w:rPr>
          <w:rFonts w:eastAsia="Calibri"/>
          <w:szCs w:val="20"/>
          <w:lang w:val="es-ES_tradnl" w:eastAsia="en-US"/>
        </w:rPr>
        <w:t xml:space="preserve">Salvo el Reglamento de Ejecución (UE) 2024/2981 de la Comisión, de 28 de noviembre de 2024, los otros cuatro que se han enumerado han sido objeto de una amplia modificación operada por los siguientes reglamentos, todos ellos aprobados el 15 de julio de 2026 y publicados el 22 de julio: </w:t>
      </w:r>
    </w:p>
    <w:p w14:paraId="6B123C43" w14:textId="77777777" w:rsidR="00466586" w:rsidRPr="00222CB8" w:rsidRDefault="00466586" w:rsidP="00466586">
      <w:pPr>
        <w:suppressAutoHyphens/>
        <w:overflowPunct w:val="0"/>
        <w:autoSpaceDE w:val="0"/>
        <w:autoSpaceDN w:val="0"/>
        <w:adjustRightInd w:val="0"/>
        <w:spacing w:after="0"/>
        <w:ind w:left="360"/>
        <w:contextualSpacing/>
        <w:jc w:val="both"/>
        <w:rPr>
          <w:rFonts w:eastAsia="Calibri"/>
          <w:szCs w:val="20"/>
          <w:lang w:val="es-ES_tradnl" w:eastAsia="en-US"/>
        </w:rPr>
      </w:pPr>
      <w:r w:rsidRPr="00222CB8">
        <w:rPr>
          <w:rFonts w:eastAsia="Calibri"/>
          <w:szCs w:val="20"/>
          <w:lang w:val="es-ES_tradnl" w:eastAsia="en-US"/>
        </w:rPr>
        <w:t>a)</w:t>
      </w:r>
      <w:r w:rsidRPr="00222CB8">
        <w:rPr>
          <w:rFonts w:eastAsia="Calibri"/>
          <w:szCs w:val="20"/>
          <w:lang w:val="es-ES_tradnl" w:eastAsia="en-US"/>
        </w:rPr>
        <w:tab/>
        <w:t xml:space="preserve">Reglamento de Ejecución (UE) 2026/1730 de la Comisión, de 15 de julio de 2026, por el que se modifica el Reglamento de Ejecución (UE) 2025/848 en lo que respecta a las normas y especificaciones aplicables. </w:t>
      </w:r>
    </w:p>
    <w:p w14:paraId="359ED305" w14:textId="77777777" w:rsidR="00466586" w:rsidRPr="00222CB8" w:rsidRDefault="00466586" w:rsidP="00466586">
      <w:pPr>
        <w:suppressAutoHyphens/>
        <w:overflowPunct w:val="0"/>
        <w:autoSpaceDE w:val="0"/>
        <w:autoSpaceDN w:val="0"/>
        <w:adjustRightInd w:val="0"/>
        <w:spacing w:after="0"/>
        <w:ind w:left="360"/>
        <w:contextualSpacing/>
        <w:jc w:val="both"/>
        <w:rPr>
          <w:rFonts w:eastAsia="Calibri"/>
          <w:szCs w:val="20"/>
          <w:lang w:val="es-ES_tradnl" w:eastAsia="en-US"/>
        </w:rPr>
      </w:pPr>
      <w:r w:rsidRPr="00222CB8">
        <w:rPr>
          <w:rFonts w:eastAsia="Calibri"/>
          <w:szCs w:val="20"/>
          <w:lang w:val="es-ES_tradnl" w:eastAsia="en-US"/>
        </w:rPr>
        <w:t>b)</w:t>
      </w:r>
      <w:r w:rsidRPr="00222CB8">
        <w:rPr>
          <w:rFonts w:eastAsia="Calibri"/>
          <w:szCs w:val="20"/>
          <w:lang w:val="es-ES_tradnl" w:eastAsia="en-US"/>
        </w:rPr>
        <w:tab/>
        <w:t xml:space="preserve">Reglamento de Ejecución (UE) 2026/1731 de la Comisión, de 15 de julio de 2026, por el que se modifican los Reglamentos de Ejecución (UE) 2024/2977, (UE) 2024/2979, (UE) 2024/2980 y (UE) 2024/2982 en lo que respecta a las normas y especificaciones aplicables. </w:t>
      </w:r>
    </w:p>
    <w:p w14:paraId="29124A3F" w14:textId="77777777" w:rsidR="00466586" w:rsidRPr="00222CB8" w:rsidRDefault="00466586" w:rsidP="00466586">
      <w:pPr>
        <w:suppressAutoHyphens/>
        <w:overflowPunct w:val="0"/>
        <w:autoSpaceDE w:val="0"/>
        <w:autoSpaceDN w:val="0"/>
        <w:adjustRightInd w:val="0"/>
        <w:spacing w:after="0"/>
        <w:ind w:left="360"/>
        <w:contextualSpacing/>
        <w:jc w:val="both"/>
        <w:rPr>
          <w:rFonts w:eastAsia="Calibri"/>
          <w:szCs w:val="20"/>
          <w:lang w:val="es-ES_tradnl" w:eastAsia="en-US"/>
        </w:rPr>
      </w:pPr>
      <w:r w:rsidRPr="00222CB8">
        <w:rPr>
          <w:rFonts w:eastAsia="Calibri"/>
          <w:szCs w:val="20"/>
          <w:lang w:val="es-ES_tradnl" w:eastAsia="en-US"/>
        </w:rPr>
        <w:t>c)</w:t>
      </w:r>
      <w:r w:rsidRPr="00222CB8">
        <w:rPr>
          <w:rFonts w:eastAsia="Calibri"/>
          <w:szCs w:val="20"/>
          <w:lang w:val="es-ES_tradnl" w:eastAsia="en-US"/>
        </w:rPr>
        <w:tab/>
        <w:t>Reglamento de Ejecución (UE) 2026/1735 de la Comisión, de 15 de julio de 2026, por el que se modifica el Reglamento de Ejecución (UE) 2025/1569 en lo que respecta a las normas y especificaciones aplicables.</w:t>
      </w:r>
    </w:p>
    <w:p w14:paraId="3843CD20" w14:textId="77777777" w:rsidR="008D2666" w:rsidRPr="00222CB8" w:rsidRDefault="008D2666" w:rsidP="00466586">
      <w:pPr>
        <w:suppressAutoHyphens/>
        <w:overflowPunct w:val="0"/>
        <w:autoSpaceDE w:val="0"/>
        <w:autoSpaceDN w:val="0"/>
        <w:adjustRightInd w:val="0"/>
        <w:spacing w:after="0"/>
        <w:ind w:left="360"/>
        <w:contextualSpacing/>
        <w:jc w:val="both"/>
        <w:rPr>
          <w:rFonts w:eastAsia="Calibri"/>
          <w:szCs w:val="20"/>
          <w:lang w:val="es-ES_tradnl" w:eastAsia="en-US"/>
        </w:rPr>
      </w:pPr>
    </w:p>
    <w:p w14:paraId="3DB72E26" w14:textId="77777777" w:rsidR="00466586" w:rsidRPr="00222CB8" w:rsidRDefault="00466586" w:rsidP="00513025">
      <w:pPr>
        <w:suppressAutoHyphens/>
        <w:overflowPunct w:val="0"/>
        <w:autoSpaceDE w:val="0"/>
        <w:autoSpaceDN w:val="0"/>
        <w:adjustRightInd w:val="0"/>
        <w:spacing w:after="0"/>
        <w:ind w:left="360" w:firstLine="360"/>
        <w:contextualSpacing/>
        <w:jc w:val="both"/>
        <w:rPr>
          <w:rFonts w:eastAsia="Calibri"/>
          <w:szCs w:val="20"/>
          <w:lang w:val="es-ES_tradnl" w:eastAsia="en-US"/>
        </w:rPr>
      </w:pPr>
      <w:r w:rsidRPr="00222CB8">
        <w:rPr>
          <w:rFonts w:eastAsia="Calibri"/>
          <w:szCs w:val="20"/>
          <w:lang w:val="es-ES_tradnl" w:eastAsia="en-US"/>
        </w:rPr>
        <w:t>El cumplimiento de la previsión del mencionado artículo 5.bis.1 relativa a que “</w:t>
      </w:r>
      <w:r w:rsidRPr="00222CB8">
        <w:rPr>
          <w:rFonts w:eastAsia="Calibri"/>
          <w:i/>
          <w:iCs/>
          <w:szCs w:val="20"/>
          <w:lang w:val="es-ES_tradnl" w:eastAsia="en-US"/>
        </w:rPr>
        <w:t>cada Estado miembro proporcionará al menos una cartera europea de identidad digital en los veinticuatro meses siguientes a la entrada en vigor de los actos de ejecución</w:t>
      </w:r>
      <w:r w:rsidRPr="00222CB8">
        <w:rPr>
          <w:rFonts w:eastAsia="Calibri"/>
          <w:szCs w:val="20"/>
          <w:lang w:val="es-ES_tradnl" w:eastAsia="en-US"/>
        </w:rPr>
        <w:t xml:space="preserve">”, exige la realización de un conjunto de actuaciones íntimamente relacionadas en los planos normativo, técnico, de certificación de la cartera y de información a la Comisión Europea, cuyo elemento clave en el primero de los planos mencionados se concreta en la tramitación y aprobación del real decreto por el que se regula el ecosistema de cartera europea de identidad digital en España, que define con claridad en nuestro ordenamiento jurídico los actores involucrados, sus competencias y los mecanismos de coordinación que aseguren el correcto funcionamiento de la implementación nacional en el contexto del marco europeo. </w:t>
      </w:r>
    </w:p>
    <w:p w14:paraId="3E4FA4C1" w14:textId="77777777" w:rsidR="008D2666" w:rsidRPr="00222CB8" w:rsidRDefault="008D2666" w:rsidP="00466586">
      <w:pPr>
        <w:suppressAutoHyphens/>
        <w:overflowPunct w:val="0"/>
        <w:autoSpaceDE w:val="0"/>
        <w:autoSpaceDN w:val="0"/>
        <w:adjustRightInd w:val="0"/>
        <w:spacing w:after="0"/>
        <w:ind w:left="360"/>
        <w:contextualSpacing/>
        <w:jc w:val="both"/>
        <w:rPr>
          <w:rFonts w:eastAsia="Calibri"/>
          <w:szCs w:val="20"/>
          <w:lang w:val="es-ES_tradnl" w:eastAsia="en-US"/>
        </w:rPr>
      </w:pPr>
    </w:p>
    <w:p w14:paraId="7E4126FA" w14:textId="37724AC9" w:rsidR="00466586" w:rsidRPr="00222CB8" w:rsidRDefault="00466586" w:rsidP="00513025">
      <w:pPr>
        <w:suppressAutoHyphens/>
        <w:overflowPunct w:val="0"/>
        <w:autoSpaceDE w:val="0"/>
        <w:autoSpaceDN w:val="0"/>
        <w:adjustRightInd w:val="0"/>
        <w:spacing w:after="0"/>
        <w:ind w:left="360" w:firstLine="360"/>
        <w:contextualSpacing/>
        <w:jc w:val="both"/>
        <w:rPr>
          <w:rFonts w:eastAsia="Calibri"/>
          <w:szCs w:val="20"/>
          <w:lang w:val="es-ES_tradnl" w:eastAsia="en-US"/>
        </w:rPr>
      </w:pPr>
      <w:r w:rsidRPr="00222CB8">
        <w:rPr>
          <w:rFonts w:eastAsia="Calibri"/>
          <w:szCs w:val="20"/>
          <w:lang w:val="es-ES_tradnl" w:eastAsia="en-US"/>
        </w:rPr>
        <w:t>Sin embargo, lo singular de este supuesto radica en que, a pesar de que las modificaciones de los reglamentos de ejecución señalados aprobadas de forma definitiva en fecha tan reciente son de calado, ello no ha alterado el plazo previsto en el artículo 5 bis.1 del Reglamento (UE) n.º 910/2014, cuyo cumplimiento continúa exigiendo que los Estados miembros proporcionen al menos una cartera europea de identidad digital no más tarde del 24 de diciembre de 2026, y ello ha obligado a reajustar tanto determinados requisitos tecnológicos de la propia cartera respecto del diseño inicial como el contenido del proyecto de real decreto que se debe aprobar (y en consecuencia, el inicio de su tramitación), lo que exige de forma ineludible la tramitación por vía de urgencia del real decreto para poder cumplir con el plazo exigido.</w:t>
      </w:r>
    </w:p>
    <w:p w14:paraId="427C88B3" w14:textId="77777777" w:rsidR="008D2666" w:rsidRPr="00222CB8" w:rsidRDefault="008D2666" w:rsidP="00466586">
      <w:pPr>
        <w:suppressAutoHyphens/>
        <w:overflowPunct w:val="0"/>
        <w:autoSpaceDE w:val="0"/>
        <w:autoSpaceDN w:val="0"/>
        <w:adjustRightInd w:val="0"/>
        <w:spacing w:after="0"/>
        <w:ind w:left="360"/>
        <w:contextualSpacing/>
        <w:jc w:val="both"/>
        <w:rPr>
          <w:rFonts w:eastAsia="Calibri"/>
          <w:szCs w:val="20"/>
          <w:lang w:val="es-ES_tradnl" w:eastAsia="en-US"/>
        </w:rPr>
      </w:pPr>
    </w:p>
    <w:p w14:paraId="32FA97DD" w14:textId="5DFA2660" w:rsidR="008D2666" w:rsidRPr="00222CB8" w:rsidRDefault="008D2666" w:rsidP="00513025">
      <w:pPr>
        <w:suppressAutoHyphens/>
        <w:overflowPunct w:val="0"/>
        <w:autoSpaceDE w:val="0"/>
        <w:autoSpaceDN w:val="0"/>
        <w:adjustRightInd w:val="0"/>
        <w:spacing w:after="0"/>
        <w:ind w:left="360" w:firstLine="360"/>
        <w:contextualSpacing/>
        <w:jc w:val="both"/>
        <w:rPr>
          <w:rFonts w:eastAsia="Calibri"/>
          <w:szCs w:val="20"/>
          <w:lang w:val="es-ES_tradnl" w:eastAsia="en-US"/>
        </w:rPr>
      </w:pPr>
      <w:r w:rsidRPr="00222CB8">
        <w:rPr>
          <w:rFonts w:eastAsia="Calibri"/>
          <w:szCs w:val="20"/>
          <w:lang w:val="es-ES_tradnl" w:eastAsia="en-US"/>
        </w:rPr>
        <w:t xml:space="preserve">Por ello, el Consejo de </w:t>
      </w:r>
      <w:proofErr w:type="gramStart"/>
      <w:r w:rsidRPr="00222CB8">
        <w:rPr>
          <w:rFonts w:eastAsia="Calibri"/>
          <w:szCs w:val="20"/>
          <w:lang w:val="es-ES_tradnl" w:eastAsia="en-US"/>
        </w:rPr>
        <w:t>Ministros</w:t>
      </w:r>
      <w:proofErr w:type="gramEnd"/>
      <w:r w:rsidRPr="00222CB8">
        <w:rPr>
          <w:rFonts w:eastAsia="Calibri"/>
          <w:szCs w:val="20"/>
          <w:lang w:val="es-ES_tradnl" w:eastAsia="en-US"/>
        </w:rPr>
        <w:t xml:space="preserve"> ha aprobado en su reunión de 29 de septiembre el Acuerdo por el que se autoriza la tramitación administrativa urgente prevista en el artículo 27.1a) </w:t>
      </w:r>
      <w:r w:rsidR="00537DF1" w:rsidRPr="00222CB8">
        <w:rPr>
          <w:rFonts w:eastAsia="Calibri"/>
          <w:szCs w:val="20"/>
          <w:lang w:val="es-ES_tradnl" w:eastAsia="en-US"/>
        </w:rPr>
        <w:t>LG</w:t>
      </w:r>
      <w:r w:rsidRPr="00222CB8">
        <w:rPr>
          <w:rFonts w:eastAsia="Calibri"/>
          <w:szCs w:val="20"/>
          <w:lang w:val="es-ES_tradnl" w:eastAsia="en-US"/>
        </w:rPr>
        <w:t xml:space="preserve"> del proyecto de real decreto. La tramitación por vía de urgencia implicará, se acuerdo con el mencionado artículo 2</w:t>
      </w:r>
      <w:r w:rsidR="00537DF1" w:rsidRPr="00222CB8">
        <w:rPr>
          <w:rFonts w:eastAsia="Calibri"/>
          <w:szCs w:val="20"/>
          <w:lang w:val="es-ES_tradnl" w:eastAsia="en-US"/>
        </w:rPr>
        <w:t xml:space="preserve">7 </w:t>
      </w:r>
      <w:r w:rsidRPr="00222CB8">
        <w:rPr>
          <w:rFonts w:eastAsia="Calibri"/>
          <w:szCs w:val="20"/>
          <w:lang w:val="es-ES_tradnl" w:eastAsia="en-US"/>
        </w:rPr>
        <w:t>que:</w:t>
      </w:r>
    </w:p>
    <w:p w14:paraId="16EA77D3" w14:textId="77777777" w:rsidR="008D2666" w:rsidRPr="00222CB8" w:rsidRDefault="008D2666" w:rsidP="008D2666">
      <w:pPr>
        <w:suppressAutoHyphens/>
        <w:overflowPunct w:val="0"/>
        <w:autoSpaceDE w:val="0"/>
        <w:autoSpaceDN w:val="0"/>
        <w:adjustRightInd w:val="0"/>
        <w:spacing w:after="0"/>
        <w:ind w:left="360"/>
        <w:contextualSpacing/>
        <w:jc w:val="both"/>
        <w:rPr>
          <w:rFonts w:eastAsia="Calibri"/>
          <w:szCs w:val="20"/>
          <w:lang w:val="es-ES_tradnl" w:eastAsia="en-US"/>
        </w:rPr>
      </w:pPr>
    </w:p>
    <w:p w14:paraId="52A0B65A" w14:textId="58B16000" w:rsidR="008D2666" w:rsidRPr="00222CB8" w:rsidRDefault="008D2666" w:rsidP="008D2666">
      <w:pPr>
        <w:suppressAutoHyphens/>
        <w:overflowPunct w:val="0"/>
        <w:autoSpaceDE w:val="0"/>
        <w:autoSpaceDN w:val="0"/>
        <w:adjustRightInd w:val="0"/>
        <w:ind w:left="360"/>
        <w:contextualSpacing/>
        <w:jc w:val="both"/>
        <w:rPr>
          <w:rFonts w:eastAsia="Calibri"/>
          <w:i/>
          <w:iCs/>
          <w:szCs w:val="20"/>
          <w:lang w:val="es-ES_tradnl" w:eastAsia="en-US"/>
        </w:rPr>
      </w:pPr>
      <w:r w:rsidRPr="00222CB8">
        <w:rPr>
          <w:rFonts w:eastAsia="Calibri"/>
          <w:szCs w:val="20"/>
          <w:lang w:val="es-ES_tradnl" w:eastAsia="en-US"/>
        </w:rPr>
        <w:tab/>
        <w:t>“a</w:t>
      </w:r>
      <w:r w:rsidRPr="00222CB8">
        <w:rPr>
          <w:rFonts w:eastAsia="Calibri"/>
          <w:i/>
          <w:iCs/>
          <w:szCs w:val="20"/>
          <w:lang w:val="es-ES_tradnl" w:eastAsia="en-US"/>
        </w:rPr>
        <w:t xml:space="preserve">) Los plazos previstos para la realización de los trámites del procedimiento de elaboración, establecidos en esta o en otra norma, se reducirán a la mitad de su duración. Si, en aplicación de la normativa reguladora de los órganos consultivos que hubieran de emitir dictamen, fuera </w:t>
      </w:r>
      <w:r w:rsidRPr="00222CB8">
        <w:rPr>
          <w:rFonts w:eastAsia="Calibri"/>
          <w:i/>
          <w:iCs/>
          <w:szCs w:val="20"/>
          <w:lang w:val="es-ES_tradnl" w:eastAsia="en-US"/>
        </w:rPr>
        <w:lastRenderedPageBreak/>
        <w:t xml:space="preserve">necesario un acuerdo para requerirlo en dicho plazo, se adoptará por el órgano competente; y si fuera el Consejo de </w:t>
      </w:r>
      <w:proofErr w:type="gramStart"/>
      <w:r w:rsidRPr="00222CB8">
        <w:rPr>
          <w:rFonts w:eastAsia="Calibri"/>
          <w:i/>
          <w:iCs/>
          <w:szCs w:val="20"/>
          <w:lang w:val="es-ES_tradnl" w:eastAsia="en-US"/>
        </w:rPr>
        <w:t>Ministros</w:t>
      </w:r>
      <w:proofErr w:type="gramEnd"/>
      <w:r w:rsidRPr="00222CB8">
        <w:rPr>
          <w:rFonts w:eastAsia="Calibri"/>
          <w:i/>
          <w:iCs/>
          <w:szCs w:val="20"/>
          <w:lang w:val="es-ES_tradnl" w:eastAsia="en-US"/>
        </w:rPr>
        <w:t>, se recogerá en el acuerdo previsto en el apartado 1 de este artículo.</w:t>
      </w:r>
    </w:p>
    <w:p w14:paraId="7A8075F4" w14:textId="77777777" w:rsidR="008D2666" w:rsidRPr="00222CB8" w:rsidRDefault="008D2666" w:rsidP="008D2666">
      <w:pPr>
        <w:suppressAutoHyphens/>
        <w:overflowPunct w:val="0"/>
        <w:autoSpaceDE w:val="0"/>
        <w:autoSpaceDN w:val="0"/>
        <w:adjustRightInd w:val="0"/>
        <w:ind w:left="360"/>
        <w:contextualSpacing/>
        <w:jc w:val="both"/>
        <w:rPr>
          <w:rFonts w:eastAsia="Calibri"/>
          <w:i/>
          <w:iCs/>
          <w:szCs w:val="20"/>
          <w:lang w:val="es-ES_tradnl" w:eastAsia="en-US"/>
        </w:rPr>
      </w:pPr>
      <w:r w:rsidRPr="00222CB8">
        <w:rPr>
          <w:rFonts w:eastAsia="Calibri"/>
          <w:i/>
          <w:iCs/>
          <w:szCs w:val="20"/>
          <w:lang w:val="es-ES_tradnl" w:eastAsia="en-US"/>
        </w:rPr>
        <w:tab/>
        <w:t>b) No será preciso el trámite de consulta pública previsto en el artículo 26.2, sin perjuicio de la realización de los trámites de audiencia pública o de información pública sobre el texto a los que se refiere el artículo 26.6, cuyo plazo de realización será de siete días.</w:t>
      </w:r>
    </w:p>
    <w:p w14:paraId="31D0CF16" w14:textId="2D3A1AFC" w:rsidR="00466586" w:rsidRPr="00222CB8" w:rsidRDefault="008D2666" w:rsidP="008D2666">
      <w:pPr>
        <w:suppressAutoHyphens/>
        <w:overflowPunct w:val="0"/>
        <w:autoSpaceDE w:val="0"/>
        <w:autoSpaceDN w:val="0"/>
        <w:adjustRightInd w:val="0"/>
        <w:ind w:left="360"/>
        <w:contextualSpacing/>
        <w:jc w:val="both"/>
        <w:rPr>
          <w:rFonts w:eastAsia="Calibri"/>
          <w:i/>
          <w:iCs/>
          <w:szCs w:val="20"/>
          <w:highlight w:val="yellow"/>
          <w:lang w:val="es-ES_tradnl" w:eastAsia="en-US"/>
        </w:rPr>
      </w:pPr>
      <w:r w:rsidRPr="00222CB8">
        <w:rPr>
          <w:rFonts w:eastAsia="Calibri"/>
          <w:i/>
          <w:iCs/>
          <w:szCs w:val="20"/>
          <w:lang w:val="es-ES_tradnl" w:eastAsia="en-US"/>
        </w:rPr>
        <w:tab/>
        <w:t>c) La falta de emisión de un dictamen o informe preceptivo en plazo no impedirá la continuación del procedimiento, sin perjuicio de su eventual incorporación y consideración cuando se reciba”.</w:t>
      </w:r>
    </w:p>
    <w:p w14:paraId="0B819E3D" w14:textId="77777777" w:rsidR="00466586" w:rsidRPr="00222CB8" w:rsidRDefault="00466586" w:rsidP="00A70719">
      <w:pPr>
        <w:suppressAutoHyphens/>
        <w:overflowPunct w:val="0"/>
        <w:autoSpaceDE w:val="0"/>
        <w:autoSpaceDN w:val="0"/>
        <w:adjustRightInd w:val="0"/>
        <w:ind w:left="360"/>
        <w:contextualSpacing/>
        <w:jc w:val="both"/>
        <w:rPr>
          <w:rFonts w:eastAsia="Calibri"/>
          <w:b/>
          <w:bCs/>
          <w:szCs w:val="20"/>
          <w:highlight w:val="yellow"/>
          <w:lang w:val="es-ES_tradnl" w:eastAsia="en-US"/>
        </w:rPr>
      </w:pPr>
    </w:p>
    <w:p w14:paraId="4D468799" w14:textId="77777777" w:rsidR="00A70719" w:rsidRPr="00222CB8" w:rsidRDefault="00A70719" w:rsidP="00A70719">
      <w:pPr>
        <w:numPr>
          <w:ilvl w:val="0"/>
          <w:numId w:val="26"/>
        </w:numPr>
        <w:suppressAutoHyphens/>
        <w:overflowPunct w:val="0"/>
        <w:autoSpaceDE w:val="0"/>
        <w:autoSpaceDN w:val="0"/>
        <w:adjustRightInd w:val="0"/>
        <w:spacing w:after="0"/>
        <w:contextualSpacing/>
        <w:jc w:val="both"/>
        <w:rPr>
          <w:rFonts w:eastAsia="Calibri"/>
          <w:b/>
          <w:bCs/>
          <w:szCs w:val="20"/>
          <w:lang w:val="es-ES_tradnl" w:eastAsia="en-US"/>
        </w:rPr>
      </w:pPr>
      <w:r w:rsidRPr="00222CB8">
        <w:rPr>
          <w:rFonts w:eastAsia="Calibri"/>
          <w:b/>
          <w:bCs/>
          <w:szCs w:val="20"/>
          <w:lang w:val="es-ES_tradnl" w:eastAsia="en-US"/>
        </w:rPr>
        <w:t>Consulta pública previa</w:t>
      </w:r>
    </w:p>
    <w:p w14:paraId="26011F59" w14:textId="77777777" w:rsidR="00513025" w:rsidRPr="00222CB8" w:rsidRDefault="00513025" w:rsidP="00A70719">
      <w:pPr>
        <w:suppressAutoHyphens/>
        <w:overflowPunct w:val="0"/>
        <w:autoSpaceDE w:val="0"/>
        <w:autoSpaceDN w:val="0"/>
        <w:adjustRightInd w:val="0"/>
        <w:ind w:firstLine="708"/>
        <w:contextualSpacing/>
        <w:jc w:val="both"/>
        <w:rPr>
          <w:rFonts w:eastAsia="Times New Roman" w:cs="Times New Roman"/>
          <w:szCs w:val="20"/>
        </w:rPr>
      </w:pPr>
    </w:p>
    <w:p w14:paraId="67ADA226" w14:textId="67C5B016" w:rsidR="002047A6" w:rsidRPr="00222CB8" w:rsidRDefault="002047A6" w:rsidP="00A70719">
      <w:pPr>
        <w:suppressAutoHyphens/>
        <w:overflowPunct w:val="0"/>
        <w:autoSpaceDE w:val="0"/>
        <w:autoSpaceDN w:val="0"/>
        <w:adjustRightInd w:val="0"/>
        <w:ind w:firstLine="708"/>
        <w:contextualSpacing/>
        <w:jc w:val="both"/>
        <w:rPr>
          <w:rFonts w:eastAsia="Calibri"/>
          <w:strike/>
          <w:szCs w:val="20"/>
          <w:lang w:eastAsia="en-US"/>
        </w:rPr>
      </w:pPr>
      <w:r w:rsidRPr="00222CB8">
        <w:rPr>
          <w:rFonts w:eastAsia="Times New Roman" w:cs="Times New Roman"/>
          <w:szCs w:val="20"/>
        </w:rPr>
        <w:t xml:space="preserve">No procede. El Consejo de </w:t>
      </w:r>
      <w:proofErr w:type="gramStart"/>
      <w:r w:rsidRPr="00222CB8">
        <w:rPr>
          <w:rFonts w:eastAsia="Times New Roman" w:cs="Times New Roman"/>
          <w:szCs w:val="20"/>
        </w:rPr>
        <w:t>Ministros</w:t>
      </w:r>
      <w:proofErr w:type="gramEnd"/>
      <w:r w:rsidRPr="00222CB8">
        <w:rPr>
          <w:rFonts w:eastAsia="Times New Roman" w:cs="Times New Roman"/>
          <w:szCs w:val="20"/>
        </w:rPr>
        <w:t xml:space="preserve"> ha acordado el 29 de septiembre de 2026 la tramitación urgente del proyecto de acuerdo con lo previsto en el artículo 27 de la 50/1997, de 27 de noviembre, del Gobierno, por lo que de acuerdo con lo previsto en el párrafo b) de su apartado 2, no será preciso</w:t>
      </w:r>
    </w:p>
    <w:p w14:paraId="6D214D8D" w14:textId="77777777" w:rsidR="00A70719" w:rsidRPr="00222CB8" w:rsidRDefault="00A70719" w:rsidP="00A70719">
      <w:pPr>
        <w:suppressAutoHyphens/>
        <w:overflowPunct w:val="0"/>
        <w:autoSpaceDE w:val="0"/>
        <w:autoSpaceDN w:val="0"/>
        <w:adjustRightInd w:val="0"/>
        <w:contextualSpacing/>
        <w:jc w:val="both"/>
        <w:rPr>
          <w:rFonts w:eastAsia="Calibri"/>
          <w:szCs w:val="20"/>
          <w:highlight w:val="yellow"/>
          <w:lang w:val="es-ES_tradnl" w:eastAsia="en-US"/>
        </w:rPr>
      </w:pPr>
    </w:p>
    <w:p w14:paraId="31A90645" w14:textId="77777777" w:rsidR="00A70719" w:rsidRPr="00222CB8" w:rsidRDefault="00A70719" w:rsidP="00A70719">
      <w:pPr>
        <w:numPr>
          <w:ilvl w:val="0"/>
          <w:numId w:val="26"/>
        </w:numPr>
        <w:suppressAutoHyphens/>
        <w:overflowPunct w:val="0"/>
        <w:autoSpaceDE w:val="0"/>
        <w:autoSpaceDN w:val="0"/>
        <w:adjustRightInd w:val="0"/>
        <w:spacing w:after="0"/>
        <w:contextualSpacing/>
        <w:jc w:val="both"/>
        <w:rPr>
          <w:rFonts w:eastAsia="Times New Roman"/>
          <w:b/>
          <w:bCs/>
          <w:szCs w:val="20"/>
          <w:lang w:val="es-ES_tradnl"/>
        </w:rPr>
      </w:pPr>
      <w:r w:rsidRPr="00222CB8">
        <w:rPr>
          <w:rFonts w:eastAsia="Times New Roman"/>
          <w:b/>
          <w:bCs/>
          <w:szCs w:val="20"/>
          <w:lang w:val="es-ES_tradnl"/>
        </w:rPr>
        <w:t>Audiencia e información pública.</w:t>
      </w:r>
    </w:p>
    <w:p w14:paraId="3C625C35" w14:textId="21A67A3A" w:rsidR="00A70719" w:rsidRPr="00222CB8" w:rsidRDefault="002047A6" w:rsidP="00A70719">
      <w:pPr>
        <w:suppressAutoHyphens/>
        <w:overflowPunct w:val="0"/>
        <w:autoSpaceDE w:val="0"/>
        <w:autoSpaceDN w:val="0"/>
        <w:adjustRightInd w:val="0"/>
        <w:ind w:firstLine="709"/>
        <w:contextualSpacing/>
        <w:jc w:val="both"/>
        <w:rPr>
          <w:rFonts w:eastAsia="Calibri"/>
          <w:strike/>
          <w:szCs w:val="20"/>
          <w:lang w:eastAsia="en-US"/>
        </w:rPr>
      </w:pPr>
      <w:r w:rsidRPr="00222CB8">
        <w:rPr>
          <w:rFonts w:eastAsia="Calibri"/>
          <w:szCs w:val="20"/>
          <w:lang w:eastAsia="en-US"/>
        </w:rPr>
        <w:t xml:space="preserve">De acuerdo con lo previsto en el art. 26.6 LG se realizará el trámite de audiencia pública. Ténganse en cuenta, en especial, </w:t>
      </w:r>
      <w:r w:rsidR="00A70719" w:rsidRPr="00222CB8">
        <w:rPr>
          <w:rFonts w:eastAsia="Calibri"/>
          <w:szCs w:val="20"/>
          <w:lang w:eastAsia="en-US"/>
        </w:rPr>
        <w:t>las previsiones de los artículos 11 (Registro nacional de partes usuarias de las carteras), 12 (Provisión de certificados de acceso y de certificados de registro de parte usuaria de la cartera) y la Disposición adicional primera (Procedimiento de verificación previa del cumplimiento de los requisitos para la expedición de declaraciones electrónicas cualificadas de atributos)</w:t>
      </w:r>
      <w:r w:rsidRPr="00222CB8">
        <w:rPr>
          <w:rFonts w:eastAsia="Calibri"/>
          <w:szCs w:val="20"/>
          <w:lang w:eastAsia="en-US"/>
        </w:rPr>
        <w:t>, que</w:t>
      </w:r>
      <w:r w:rsidR="00A70719" w:rsidRPr="00222CB8">
        <w:rPr>
          <w:rFonts w:eastAsia="Calibri"/>
          <w:szCs w:val="20"/>
          <w:lang w:eastAsia="en-US"/>
        </w:rPr>
        <w:t xml:space="preserve"> pueden afectar a partes usuarias de la cartera que presten servicios privados y a prestadores cualificados de servicios electrónicos de confianza que obtengan la certificación de la DGOSDCA</w:t>
      </w:r>
    </w:p>
    <w:p w14:paraId="58E3073F" w14:textId="77777777" w:rsidR="002838CB" w:rsidRPr="00222CB8" w:rsidRDefault="002838CB" w:rsidP="00A70719">
      <w:pPr>
        <w:suppressAutoHyphens/>
        <w:overflowPunct w:val="0"/>
        <w:autoSpaceDE w:val="0"/>
        <w:autoSpaceDN w:val="0"/>
        <w:adjustRightInd w:val="0"/>
        <w:ind w:firstLine="709"/>
        <w:contextualSpacing/>
        <w:jc w:val="both"/>
        <w:rPr>
          <w:rFonts w:eastAsia="Calibri"/>
          <w:strike/>
          <w:szCs w:val="20"/>
          <w:lang w:eastAsia="en-US"/>
        </w:rPr>
      </w:pPr>
    </w:p>
    <w:p w14:paraId="6B33CFF1" w14:textId="7E73BD9D" w:rsidR="002047A6" w:rsidRPr="00222CB8" w:rsidRDefault="002047A6" w:rsidP="002047A6">
      <w:pPr>
        <w:suppressAutoHyphens/>
        <w:overflowPunct w:val="0"/>
        <w:autoSpaceDE w:val="0"/>
        <w:autoSpaceDN w:val="0"/>
        <w:adjustRightInd w:val="0"/>
        <w:spacing w:after="0"/>
        <w:ind w:firstLine="360"/>
        <w:contextualSpacing/>
        <w:jc w:val="both"/>
        <w:rPr>
          <w:rFonts w:eastAsia="Calibri"/>
          <w:szCs w:val="20"/>
          <w:lang w:val="es-ES_tradnl" w:eastAsia="en-US"/>
        </w:rPr>
      </w:pPr>
      <w:r w:rsidRPr="00222CB8">
        <w:rPr>
          <w:rFonts w:eastAsia="Calibri"/>
          <w:szCs w:val="20"/>
          <w:lang w:val="es-ES_tradnl" w:eastAsia="en-US"/>
        </w:rPr>
        <w:t>Asimismo, de acuerdo con lo previsto en el inciso segundo del primer párrafo del art. 26.6 LG se realizará una audiencia específica a la Entidad Nacional de Acreditación (ENAC), designada en el artículo 5 del proyecto como Organismo Nacional de Acreditación de los organismos de evaluación de la conformidad de la cartera.</w:t>
      </w:r>
    </w:p>
    <w:p w14:paraId="171E4780" w14:textId="77777777" w:rsidR="002047A6" w:rsidRPr="00222CB8" w:rsidRDefault="002047A6" w:rsidP="00A70719">
      <w:pPr>
        <w:suppressAutoHyphens/>
        <w:overflowPunct w:val="0"/>
        <w:autoSpaceDE w:val="0"/>
        <w:autoSpaceDN w:val="0"/>
        <w:adjustRightInd w:val="0"/>
        <w:ind w:firstLine="709"/>
        <w:contextualSpacing/>
        <w:jc w:val="both"/>
        <w:rPr>
          <w:rFonts w:eastAsia="Calibri"/>
          <w:szCs w:val="20"/>
          <w:lang w:eastAsia="en-US"/>
        </w:rPr>
      </w:pPr>
    </w:p>
    <w:p w14:paraId="2478409C" w14:textId="62B3D424" w:rsidR="00A70719" w:rsidRPr="00222CB8" w:rsidRDefault="00A70719" w:rsidP="00A70719">
      <w:pPr>
        <w:numPr>
          <w:ilvl w:val="0"/>
          <w:numId w:val="26"/>
        </w:numPr>
        <w:suppressAutoHyphens/>
        <w:overflowPunct w:val="0"/>
        <w:autoSpaceDE w:val="0"/>
        <w:autoSpaceDN w:val="0"/>
        <w:adjustRightInd w:val="0"/>
        <w:spacing w:after="0"/>
        <w:contextualSpacing/>
        <w:jc w:val="both"/>
        <w:rPr>
          <w:rFonts w:eastAsia="Calibri"/>
          <w:b/>
          <w:bCs/>
          <w:szCs w:val="20"/>
          <w:lang w:val="es-ES_tradnl" w:eastAsia="en-US"/>
        </w:rPr>
      </w:pPr>
      <w:r w:rsidRPr="00222CB8">
        <w:rPr>
          <w:rFonts w:eastAsia="Calibri"/>
          <w:b/>
          <w:bCs/>
          <w:szCs w:val="20"/>
          <w:lang w:val="es-ES_tradnl" w:eastAsia="en-US"/>
        </w:rPr>
        <w:t>Informes</w:t>
      </w:r>
      <w:r w:rsidR="002047A6" w:rsidRPr="00222CB8">
        <w:rPr>
          <w:rFonts w:eastAsia="Calibri"/>
          <w:b/>
          <w:bCs/>
          <w:szCs w:val="20"/>
          <w:lang w:val="es-ES_tradnl" w:eastAsia="en-US"/>
        </w:rPr>
        <w:t xml:space="preserve"> pendientes</w:t>
      </w:r>
      <w:r w:rsidRPr="00222CB8">
        <w:rPr>
          <w:rFonts w:eastAsia="Calibri"/>
          <w:b/>
          <w:bCs/>
          <w:szCs w:val="20"/>
          <w:lang w:val="es-ES_tradnl" w:eastAsia="en-US"/>
        </w:rPr>
        <w:t>:</w:t>
      </w:r>
      <w:r w:rsidRPr="00222CB8">
        <w:rPr>
          <w:rFonts w:eastAsia="Calibri"/>
          <w:b/>
          <w:bCs/>
          <w:szCs w:val="20"/>
          <w:lang w:val="es-ES_tradnl" w:eastAsia="en-US"/>
        </w:rPr>
        <w:fldChar w:fldCharType="begin"/>
      </w:r>
      <w:r w:rsidRPr="00222CB8">
        <w:rPr>
          <w:rFonts w:eastAsia="Calibri"/>
          <w:b/>
          <w:bCs/>
          <w:szCs w:val="20"/>
          <w:lang w:val="es-ES_tradnl" w:eastAsia="en-US"/>
        </w:rPr>
        <w:instrText xml:space="preserve"> XE "4.1. Consulta pública." </w:instrText>
      </w:r>
      <w:r w:rsidRPr="00222CB8">
        <w:rPr>
          <w:rFonts w:eastAsia="Calibri"/>
          <w:b/>
          <w:bCs/>
          <w:szCs w:val="20"/>
          <w:lang w:val="es-ES_tradnl" w:eastAsia="en-US"/>
        </w:rPr>
        <w:fldChar w:fldCharType="end"/>
      </w:r>
      <w:r w:rsidRPr="00222CB8">
        <w:rPr>
          <w:rFonts w:eastAsia="Calibri"/>
          <w:b/>
          <w:bCs/>
          <w:szCs w:val="20"/>
          <w:lang w:val="es-ES_tradnl" w:eastAsia="en-US"/>
        </w:rPr>
        <w:t xml:space="preserve"> </w:t>
      </w:r>
    </w:p>
    <w:p w14:paraId="345374F8" w14:textId="77777777" w:rsidR="00A70719" w:rsidRPr="00222CB8" w:rsidRDefault="00A70719" w:rsidP="00A70719">
      <w:pPr>
        <w:suppressAutoHyphens/>
        <w:overflowPunct w:val="0"/>
        <w:autoSpaceDE w:val="0"/>
        <w:autoSpaceDN w:val="0"/>
        <w:adjustRightInd w:val="0"/>
        <w:ind w:left="360"/>
        <w:contextualSpacing/>
        <w:jc w:val="both"/>
        <w:rPr>
          <w:rFonts w:eastAsia="Calibri"/>
          <w:b/>
          <w:bCs/>
          <w:szCs w:val="20"/>
          <w:lang w:val="es-ES_tradnl" w:eastAsia="en-US"/>
        </w:rPr>
      </w:pPr>
    </w:p>
    <w:p w14:paraId="00BB0ED6" w14:textId="0AABDA84" w:rsidR="00A70719" w:rsidRPr="00222CB8" w:rsidRDefault="00A70719" w:rsidP="00A70719">
      <w:pPr>
        <w:numPr>
          <w:ilvl w:val="0"/>
          <w:numId w:val="41"/>
        </w:numPr>
        <w:suppressAutoHyphens/>
        <w:overflowPunct w:val="0"/>
        <w:autoSpaceDE w:val="0"/>
        <w:autoSpaceDN w:val="0"/>
        <w:adjustRightInd w:val="0"/>
        <w:spacing w:after="0"/>
        <w:contextualSpacing/>
        <w:jc w:val="both"/>
        <w:rPr>
          <w:rFonts w:eastAsia="Calibri"/>
          <w:szCs w:val="20"/>
          <w:lang w:val="es-ES_tradnl" w:eastAsia="en-US"/>
        </w:rPr>
      </w:pPr>
      <w:r w:rsidRPr="00222CB8">
        <w:rPr>
          <w:rFonts w:eastAsia="Calibri"/>
          <w:szCs w:val="20"/>
          <w:lang w:val="es-ES_tradnl" w:eastAsia="en-US"/>
        </w:rPr>
        <w:t>Informes de todos los ministerios, de acuerdo con lo previsto en el art 26.5.1º.</w:t>
      </w:r>
    </w:p>
    <w:p w14:paraId="2334D8D3" w14:textId="77777777" w:rsidR="00A70719" w:rsidRDefault="00A70719" w:rsidP="00A70719">
      <w:pPr>
        <w:numPr>
          <w:ilvl w:val="0"/>
          <w:numId w:val="41"/>
        </w:numPr>
        <w:suppressAutoHyphens/>
        <w:overflowPunct w:val="0"/>
        <w:autoSpaceDE w:val="0"/>
        <w:autoSpaceDN w:val="0"/>
        <w:adjustRightInd w:val="0"/>
        <w:spacing w:after="0"/>
        <w:contextualSpacing/>
        <w:jc w:val="both"/>
        <w:rPr>
          <w:rFonts w:eastAsia="Calibri"/>
          <w:szCs w:val="20"/>
          <w:lang w:val="es-ES_tradnl" w:eastAsia="en-US"/>
        </w:rPr>
      </w:pPr>
      <w:r w:rsidRPr="00222CB8">
        <w:rPr>
          <w:rFonts w:eastAsia="Calibri"/>
          <w:szCs w:val="20"/>
          <w:lang w:val="es-ES_tradnl" w:eastAsia="en-US"/>
        </w:rPr>
        <w:t>Informe de la Agencia Española de Protección de Datos (art. 5.3.b) del Estatuto de la Agencia Española de Protección de Datos, aprobado por el Real Decreto 389/2021, de 1 de junio.</w:t>
      </w:r>
    </w:p>
    <w:p w14:paraId="6B555468" w14:textId="77777777" w:rsidR="00743F03" w:rsidRPr="007B473C" w:rsidRDefault="00743F03" w:rsidP="00094B3B">
      <w:pPr>
        <w:pStyle w:val="Prrafodelista"/>
        <w:numPr>
          <w:ilvl w:val="0"/>
          <w:numId w:val="41"/>
        </w:numPr>
        <w:suppressAutoHyphens/>
        <w:overflowPunct w:val="0"/>
        <w:autoSpaceDE w:val="0"/>
        <w:autoSpaceDN w:val="0"/>
        <w:adjustRightInd w:val="0"/>
        <w:spacing w:after="0"/>
        <w:jc w:val="both"/>
        <w:rPr>
          <w:rFonts w:eastAsia="Calibri"/>
          <w:szCs w:val="20"/>
          <w:lang w:val="es-ES_tradnl" w:eastAsia="en-US"/>
        </w:rPr>
      </w:pPr>
      <w:r w:rsidRPr="007B473C">
        <w:rPr>
          <w:rFonts w:eastAsia="Calibri"/>
          <w:szCs w:val="20"/>
          <w:lang w:val="es-ES_tradnl" w:eastAsia="en-US"/>
        </w:rPr>
        <w:t>Informe de la Comisión Nacional de los Mercados y la Competencia (art 5.2 de la Ley 3/2013, de 4 de junio, de creación de la Comisión Nacional de los Mercados y la Competencia).</w:t>
      </w:r>
    </w:p>
    <w:p w14:paraId="5E27D2D7" w14:textId="3427863B" w:rsidR="00A70719" w:rsidRPr="00743F03" w:rsidRDefault="00A70719" w:rsidP="00094B3B">
      <w:pPr>
        <w:pStyle w:val="Prrafodelista"/>
        <w:numPr>
          <w:ilvl w:val="0"/>
          <w:numId w:val="41"/>
        </w:numPr>
        <w:suppressAutoHyphens/>
        <w:overflowPunct w:val="0"/>
        <w:autoSpaceDE w:val="0"/>
        <w:autoSpaceDN w:val="0"/>
        <w:adjustRightInd w:val="0"/>
        <w:spacing w:after="0"/>
        <w:jc w:val="both"/>
        <w:rPr>
          <w:rFonts w:eastAsia="Calibri"/>
          <w:szCs w:val="20"/>
          <w:lang w:val="es-ES_tradnl" w:eastAsia="en-US"/>
        </w:rPr>
      </w:pPr>
      <w:r w:rsidRPr="00743F03">
        <w:rPr>
          <w:rFonts w:eastAsia="Calibri"/>
          <w:szCs w:val="20"/>
          <w:lang w:val="es-ES_tradnl" w:eastAsia="en-US"/>
        </w:rPr>
        <w:t>Informe de la Oficina de Coordinación y Calidad Normativa (art. 26.9 LG)</w:t>
      </w:r>
    </w:p>
    <w:p w14:paraId="38D07964" w14:textId="77777777" w:rsidR="00A70719" w:rsidRPr="00222CB8" w:rsidRDefault="00A70719" w:rsidP="00A70719">
      <w:pPr>
        <w:numPr>
          <w:ilvl w:val="0"/>
          <w:numId w:val="41"/>
        </w:numPr>
        <w:suppressAutoHyphens/>
        <w:overflowPunct w:val="0"/>
        <w:autoSpaceDE w:val="0"/>
        <w:autoSpaceDN w:val="0"/>
        <w:adjustRightInd w:val="0"/>
        <w:spacing w:after="0"/>
        <w:contextualSpacing/>
        <w:jc w:val="both"/>
        <w:rPr>
          <w:rFonts w:eastAsia="Calibri"/>
          <w:szCs w:val="20"/>
          <w:lang w:val="es-ES_tradnl" w:eastAsia="en-US"/>
        </w:rPr>
      </w:pPr>
      <w:r w:rsidRPr="00222CB8">
        <w:rPr>
          <w:rFonts w:eastAsia="Calibri"/>
          <w:szCs w:val="20"/>
          <w:lang w:val="es-ES_tradnl" w:eastAsia="en-US"/>
        </w:rPr>
        <w:t>Informe de la Secretaría General Técnica del Ministerio para la Transformación Digital y de la Función Pública (art. 26.</w:t>
      </w:r>
      <w:proofErr w:type="gramStart"/>
      <w:r w:rsidRPr="00222CB8">
        <w:rPr>
          <w:rFonts w:eastAsia="Calibri"/>
          <w:szCs w:val="20"/>
          <w:lang w:val="es-ES_tradnl" w:eastAsia="en-US"/>
        </w:rPr>
        <w:t>5.4º</w:t>
      </w:r>
      <w:proofErr w:type="gramEnd"/>
      <w:r w:rsidRPr="00222CB8">
        <w:rPr>
          <w:rFonts w:eastAsia="Calibri"/>
          <w:szCs w:val="20"/>
          <w:lang w:val="es-ES_tradnl" w:eastAsia="en-US"/>
        </w:rPr>
        <w:t xml:space="preserve"> LG). </w:t>
      </w:r>
    </w:p>
    <w:p w14:paraId="6C81F8E6" w14:textId="77777777" w:rsidR="00466586" w:rsidRPr="00222CB8" w:rsidRDefault="00466586" w:rsidP="00466586">
      <w:pPr>
        <w:suppressAutoHyphens/>
        <w:overflowPunct w:val="0"/>
        <w:autoSpaceDE w:val="0"/>
        <w:autoSpaceDN w:val="0"/>
        <w:adjustRightInd w:val="0"/>
        <w:spacing w:after="0"/>
        <w:ind w:left="360"/>
        <w:contextualSpacing/>
        <w:jc w:val="both"/>
        <w:rPr>
          <w:rFonts w:eastAsia="Calibri"/>
          <w:szCs w:val="20"/>
          <w:lang w:val="es-ES_tradnl" w:eastAsia="en-US"/>
        </w:rPr>
      </w:pPr>
    </w:p>
    <w:p w14:paraId="30CDD1C3" w14:textId="77777777" w:rsidR="00A70719" w:rsidRPr="00222CB8" w:rsidRDefault="00A70719" w:rsidP="00466586">
      <w:pPr>
        <w:suppressAutoHyphens/>
        <w:overflowPunct w:val="0"/>
        <w:autoSpaceDE w:val="0"/>
        <w:autoSpaceDN w:val="0"/>
        <w:adjustRightInd w:val="0"/>
        <w:ind w:firstLine="360"/>
        <w:contextualSpacing/>
        <w:jc w:val="both"/>
        <w:rPr>
          <w:rFonts w:eastAsia="Calibri"/>
          <w:szCs w:val="20"/>
          <w:lang w:val="es-ES_tradnl" w:eastAsia="en-US"/>
        </w:rPr>
      </w:pPr>
      <w:r w:rsidRPr="00222CB8">
        <w:rPr>
          <w:rFonts w:eastAsia="Calibri"/>
          <w:szCs w:val="20"/>
          <w:lang w:val="es-ES_tradnl" w:eastAsia="en-US"/>
        </w:rPr>
        <w:t>Aun siendo una norma eminentemente organizativa, no procede la evacuación del trámite de aprobación previa (26.</w:t>
      </w:r>
      <w:proofErr w:type="gramStart"/>
      <w:r w:rsidRPr="00222CB8">
        <w:rPr>
          <w:rFonts w:eastAsia="Calibri"/>
          <w:szCs w:val="20"/>
          <w:lang w:val="es-ES_tradnl" w:eastAsia="en-US"/>
        </w:rPr>
        <w:t>5.5º</w:t>
      </w:r>
      <w:proofErr w:type="gramEnd"/>
      <w:r w:rsidRPr="00222CB8">
        <w:rPr>
          <w:rFonts w:eastAsia="Calibri"/>
          <w:szCs w:val="20"/>
          <w:lang w:val="es-ES_tradnl" w:eastAsia="en-US"/>
        </w:rPr>
        <w:t xml:space="preserve"> LG) al entenderse implícita por ser el Ministerio para la Transformación Digital y de la Función Pública, competente para su evacuación, el departamento proponente del proyecto.</w:t>
      </w:r>
    </w:p>
    <w:p w14:paraId="335E6C6F" w14:textId="77777777" w:rsidR="00466586" w:rsidRPr="00222CB8" w:rsidRDefault="00466586" w:rsidP="00466586">
      <w:pPr>
        <w:suppressAutoHyphens/>
        <w:overflowPunct w:val="0"/>
        <w:autoSpaceDE w:val="0"/>
        <w:autoSpaceDN w:val="0"/>
        <w:adjustRightInd w:val="0"/>
        <w:ind w:firstLine="360"/>
        <w:contextualSpacing/>
        <w:jc w:val="both"/>
        <w:rPr>
          <w:rFonts w:eastAsia="Calibri"/>
          <w:szCs w:val="20"/>
          <w:lang w:val="es-ES_tradnl" w:eastAsia="en-US"/>
        </w:rPr>
      </w:pPr>
    </w:p>
    <w:p w14:paraId="62F4F6E9" w14:textId="77777777" w:rsidR="00A70719" w:rsidRPr="00222CB8" w:rsidRDefault="00A70719" w:rsidP="00A70719">
      <w:pPr>
        <w:numPr>
          <w:ilvl w:val="0"/>
          <w:numId w:val="26"/>
        </w:numPr>
        <w:suppressAutoHyphens/>
        <w:overflowPunct w:val="0"/>
        <w:autoSpaceDE w:val="0"/>
        <w:autoSpaceDN w:val="0"/>
        <w:adjustRightInd w:val="0"/>
        <w:spacing w:after="0"/>
        <w:contextualSpacing/>
        <w:jc w:val="both"/>
        <w:rPr>
          <w:rFonts w:eastAsia="Calibri"/>
          <w:b/>
          <w:bCs/>
          <w:szCs w:val="20"/>
          <w:lang w:val="es-ES_tradnl" w:eastAsia="en-US"/>
        </w:rPr>
      </w:pPr>
      <w:r w:rsidRPr="00222CB8">
        <w:rPr>
          <w:rFonts w:eastAsia="Calibri"/>
          <w:b/>
          <w:bCs/>
          <w:szCs w:val="20"/>
          <w:lang w:val="es-ES_tradnl" w:eastAsia="en-US"/>
        </w:rPr>
        <w:t>Dictamen del Consejo de Estado</w:t>
      </w:r>
    </w:p>
    <w:p w14:paraId="72D6A306" w14:textId="77777777" w:rsidR="00466586" w:rsidRPr="00222CB8" w:rsidRDefault="00466586" w:rsidP="00466586">
      <w:pPr>
        <w:suppressAutoHyphens/>
        <w:overflowPunct w:val="0"/>
        <w:autoSpaceDE w:val="0"/>
        <w:autoSpaceDN w:val="0"/>
        <w:adjustRightInd w:val="0"/>
        <w:spacing w:after="0"/>
        <w:ind w:left="360"/>
        <w:contextualSpacing/>
        <w:jc w:val="both"/>
        <w:rPr>
          <w:rFonts w:eastAsia="Calibri"/>
          <w:b/>
          <w:bCs/>
          <w:szCs w:val="20"/>
          <w:lang w:val="es-ES_tradnl" w:eastAsia="en-US"/>
        </w:rPr>
      </w:pPr>
    </w:p>
    <w:p w14:paraId="6AB13703" w14:textId="4AF6C542" w:rsidR="00A70719" w:rsidRPr="00222CB8" w:rsidRDefault="00A70719" w:rsidP="00A70719">
      <w:pPr>
        <w:ind w:firstLine="708"/>
        <w:contextualSpacing/>
        <w:jc w:val="both"/>
        <w:rPr>
          <w:rFonts w:eastAsia="Calibri"/>
          <w:szCs w:val="20"/>
          <w:lang w:eastAsia="en-US"/>
        </w:rPr>
      </w:pPr>
      <w:r w:rsidRPr="00222CB8">
        <w:rPr>
          <w:rFonts w:eastAsia="Calibri"/>
          <w:szCs w:val="20"/>
          <w:lang w:eastAsia="en-US"/>
        </w:rPr>
        <w:t xml:space="preserve">Al tratarse de una disposición reglamentaria que se dicta en ejecución, cumplimiento o desarrollo de tratados, convenios o acuerdos internacionales y del derecho comunitario europeo, procede la evacuación del dictamen de la </w:t>
      </w:r>
      <w:r w:rsidRPr="00222CB8">
        <w:rPr>
          <w:rFonts w:eastAsia="Calibri"/>
          <w:b/>
          <w:bCs/>
          <w:szCs w:val="20"/>
          <w:lang w:eastAsia="en-US"/>
        </w:rPr>
        <w:t>Comisión Permanente del Consejo de Estado</w:t>
      </w:r>
      <w:r w:rsidRPr="00222CB8">
        <w:rPr>
          <w:rFonts w:eastAsia="Calibri"/>
          <w:szCs w:val="20"/>
          <w:lang w:eastAsia="en-US"/>
        </w:rPr>
        <w:t>, de acuerdo con el artículo 22.2. de la Ley Orgánica 3/1980, de 22 de abril, del Consejo de Estado y el artículo 26.7.</w:t>
      </w:r>
      <w:r w:rsidR="00537DF1" w:rsidRPr="00222CB8">
        <w:rPr>
          <w:rFonts w:eastAsia="Calibri"/>
          <w:szCs w:val="20"/>
          <w:lang w:eastAsia="en-US"/>
        </w:rPr>
        <w:t xml:space="preserve"> LG.</w:t>
      </w:r>
    </w:p>
    <w:p w14:paraId="646BC8B7" w14:textId="77777777" w:rsidR="0048285C" w:rsidRPr="00222CB8" w:rsidRDefault="0048285C" w:rsidP="00A70719">
      <w:pPr>
        <w:ind w:firstLine="708"/>
        <w:contextualSpacing/>
        <w:jc w:val="both"/>
        <w:rPr>
          <w:rFonts w:eastAsia="Calibri"/>
          <w:szCs w:val="20"/>
          <w:lang w:eastAsia="en-US"/>
        </w:rPr>
      </w:pPr>
    </w:p>
    <w:p w14:paraId="1B433977" w14:textId="77777777" w:rsidR="0048285C" w:rsidRPr="00A70719" w:rsidRDefault="0048285C" w:rsidP="00A70719">
      <w:pPr>
        <w:ind w:firstLine="708"/>
        <w:contextualSpacing/>
        <w:jc w:val="both"/>
        <w:rPr>
          <w:rFonts w:eastAsia="Calibri"/>
          <w:szCs w:val="20"/>
          <w:lang w:val="es-ES_tradnl" w:eastAsia="en-US"/>
        </w:rPr>
      </w:pPr>
    </w:p>
    <w:p w14:paraId="2B985D49" w14:textId="77777777" w:rsidR="00A70719" w:rsidRPr="00A70719" w:rsidRDefault="00A70719" w:rsidP="00A70719">
      <w:pPr>
        <w:shd w:val="clear" w:color="auto" w:fill="000080"/>
        <w:spacing w:after="0"/>
        <w:ind w:right="-68"/>
        <w:jc w:val="both"/>
        <w:rPr>
          <w:rFonts w:eastAsia="Times New Roman"/>
          <w:b/>
          <w:bCs/>
          <w:kern w:val="1"/>
          <w:szCs w:val="20"/>
        </w:rPr>
      </w:pPr>
      <w:r w:rsidRPr="00A70719">
        <w:rPr>
          <w:rFonts w:eastAsia="Times New Roman"/>
          <w:b/>
          <w:bCs/>
          <w:kern w:val="1"/>
          <w:szCs w:val="20"/>
          <w:lang w:val="es-ES_tradnl"/>
        </w:rPr>
        <w:t>V.- ANÁLISIS DE IMPACTOS</w:t>
      </w:r>
    </w:p>
    <w:p w14:paraId="0F3F8247" w14:textId="77777777" w:rsidR="00A70719" w:rsidRPr="00A70719" w:rsidRDefault="00A70719" w:rsidP="00A70719">
      <w:pPr>
        <w:suppressAutoHyphens/>
        <w:autoSpaceDE w:val="0"/>
        <w:autoSpaceDN w:val="0"/>
        <w:adjustRightInd w:val="0"/>
        <w:spacing w:after="0"/>
        <w:ind w:left="792"/>
        <w:jc w:val="both"/>
        <w:rPr>
          <w:rFonts w:eastAsia="Times New Roman"/>
          <w:b/>
          <w:bCs/>
          <w:kern w:val="1"/>
          <w:szCs w:val="20"/>
          <w:highlight w:val="yellow"/>
        </w:rPr>
      </w:pPr>
    </w:p>
    <w:p w14:paraId="12759F95" w14:textId="77777777" w:rsidR="00A70719" w:rsidRPr="00A70719" w:rsidRDefault="00A70719" w:rsidP="00A70719">
      <w:pPr>
        <w:numPr>
          <w:ilvl w:val="0"/>
          <w:numId w:val="25"/>
        </w:numPr>
        <w:shd w:val="clear" w:color="auto" w:fill="C4BC96" w:themeFill="background2" w:themeFillShade="BF"/>
        <w:suppressAutoHyphens/>
        <w:spacing w:after="0"/>
        <w:contextualSpacing/>
        <w:jc w:val="both"/>
        <w:rPr>
          <w:rFonts w:eastAsia="Times New Roman"/>
          <w:b/>
          <w:bCs/>
          <w:szCs w:val="20"/>
          <w:lang w:val="en-US" w:eastAsia="en-US"/>
        </w:rPr>
      </w:pPr>
      <w:r w:rsidRPr="00A70719">
        <w:rPr>
          <w:rFonts w:eastAsia="Times New Roman"/>
          <w:b/>
          <w:bCs/>
          <w:szCs w:val="20"/>
          <w:lang w:val="en-US" w:eastAsia="en-US"/>
        </w:rPr>
        <w:t xml:space="preserve">Impacto </w:t>
      </w:r>
      <w:proofErr w:type="spellStart"/>
      <w:r w:rsidRPr="00A70719">
        <w:rPr>
          <w:rFonts w:eastAsia="Times New Roman"/>
          <w:b/>
          <w:bCs/>
          <w:szCs w:val="20"/>
          <w:lang w:val="en-US" w:eastAsia="en-US"/>
        </w:rPr>
        <w:t>económico</w:t>
      </w:r>
      <w:proofErr w:type="spellEnd"/>
      <w:r w:rsidRPr="00A70719">
        <w:rPr>
          <w:rFonts w:eastAsia="Times New Roman"/>
          <w:b/>
          <w:bCs/>
          <w:szCs w:val="20"/>
          <w:lang w:val="en-US" w:eastAsia="en-US"/>
        </w:rPr>
        <w:t xml:space="preserve"> </w:t>
      </w:r>
    </w:p>
    <w:p w14:paraId="4577DD09" w14:textId="77777777" w:rsidR="00A70719" w:rsidRPr="00A70719" w:rsidRDefault="00A70719" w:rsidP="00A70719">
      <w:pPr>
        <w:spacing w:after="0"/>
        <w:ind w:firstLine="360"/>
        <w:jc w:val="both"/>
        <w:rPr>
          <w:rFonts w:eastAsia="Calibri"/>
          <w:szCs w:val="20"/>
        </w:rPr>
      </w:pPr>
      <w:r w:rsidRPr="00A70719">
        <w:rPr>
          <w:rFonts w:eastAsia="Calibri"/>
          <w:szCs w:val="20"/>
        </w:rPr>
        <w:t>La definición del ecosistema nacional es el requisito previo para que los ciudadanos y empresas españolas accedan a los beneficios del Mercado Único Digital. Si bien este real decreto tiene un carácter eminentemente organizativo, su impacto es directo al proporcionar la seguridad jurídica necesaria para la inversión privada y la adopción masiva de servicios de confianza:</w:t>
      </w:r>
    </w:p>
    <w:p w14:paraId="22678E2B" w14:textId="77777777" w:rsidR="00A70719" w:rsidRPr="00A70719" w:rsidRDefault="00A70719" w:rsidP="00A70719">
      <w:pPr>
        <w:spacing w:after="0"/>
        <w:ind w:firstLine="360"/>
        <w:jc w:val="both"/>
        <w:rPr>
          <w:rFonts w:eastAsia="Calibri"/>
          <w:szCs w:val="20"/>
        </w:rPr>
      </w:pPr>
    </w:p>
    <w:p w14:paraId="79C5D0AC" w14:textId="77777777" w:rsidR="00A70719" w:rsidRPr="00A70719" w:rsidRDefault="00A70719" w:rsidP="00A70719">
      <w:pPr>
        <w:numPr>
          <w:ilvl w:val="0"/>
          <w:numId w:val="45"/>
        </w:numPr>
        <w:spacing w:after="0"/>
        <w:jc w:val="both"/>
        <w:rPr>
          <w:rFonts w:eastAsia="Calibri"/>
          <w:szCs w:val="20"/>
        </w:rPr>
      </w:pPr>
      <w:r w:rsidRPr="00A70719">
        <w:rPr>
          <w:rFonts w:eastAsia="Calibri"/>
          <w:szCs w:val="20"/>
          <w:u w:val="single"/>
        </w:rPr>
        <w:t>Crecimiento y valor añadido</w:t>
      </w:r>
      <w:r w:rsidRPr="00A70719">
        <w:rPr>
          <w:rFonts w:eastAsia="Calibri"/>
          <w:szCs w:val="20"/>
        </w:rPr>
        <w:t>: El establecimiento de la estructura de gobernanza permite a España integrarse en un modelo que, según la Comisión Europea, generará entre 250 y 1.270 millones de euros de valor añadido en la UE en una década. La designación de autoridades como el CCN (Certificación) y la AEAD (Provisión) garantiza que este valor se materialice bajo un nivel de seguridad "alto", reduciendo el fraude de identidad y los ciberdelitos.</w:t>
      </w:r>
    </w:p>
    <w:p w14:paraId="34E35A82" w14:textId="77777777" w:rsidR="00A70719" w:rsidRPr="00A70719" w:rsidRDefault="00A70719" w:rsidP="00A70719">
      <w:pPr>
        <w:numPr>
          <w:ilvl w:val="0"/>
          <w:numId w:val="45"/>
        </w:numPr>
        <w:spacing w:after="0"/>
        <w:jc w:val="both"/>
        <w:rPr>
          <w:rFonts w:eastAsia="Calibri"/>
          <w:szCs w:val="20"/>
        </w:rPr>
      </w:pPr>
      <w:r w:rsidRPr="00A70719">
        <w:rPr>
          <w:rFonts w:eastAsia="Calibri"/>
          <w:szCs w:val="20"/>
          <w:u w:val="single"/>
        </w:rPr>
        <w:t>Impacto en el empleo</w:t>
      </w:r>
      <w:r w:rsidRPr="00A70719">
        <w:rPr>
          <w:rFonts w:eastAsia="Calibri"/>
          <w:szCs w:val="20"/>
        </w:rPr>
        <w:t>: La dinamización del mercado de servicios de confianza (QEAA), la emisión de credenciales no cualificadas (EAA) y la obligatoriedad de aceptación en sectores críticos impulsarán la creación de empleo cualificado en el sector tecnológico y de ciberseguridad, con una proyección regional de miles de nuevos puestos de trabajo derivados de la expansión de las transacciones online.</w:t>
      </w:r>
    </w:p>
    <w:p w14:paraId="1114092B" w14:textId="77777777" w:rsidR="00A70719" w:rsidRPr="00A70719" w:rsidRDefault="00A70719" w:rsidP="00A70719">
      <w:pPr>
        <w:numPr>
          <w:ilvl w:val="0"/>
          <w:numId w:val="45"/>
        </w:numPr>
        <w:spacing w:after="0"/>
        <w:jc w:val="both"/>
        <w:rPr>
          <w:rFonts w:eastAsia="Calibri"/>
          <w:szCs w:val="20"/>
        </w:rPr>
      </w:pPr>
      <w:r w:rsidRPr="00A70719">
        <w:rPr>
          <w:rFonts w:eastAsia="Calibri"/>
          <w:szCs w:val="20"/>
          <w:u w:val="single"/>
        </w:rPr>
        <w:t>Eficiencia sectorial:</w:t>
      </w:r>
      <w:r w:rsidRPr="00A70719">
        <w:rPr>
          <w:rFonts w:eastAsia="Calibri"/>
          <w:szCs w:val="20"/>
        </w:rPr>
        <w:t xml:space="preserve"> El uso de la Cartera habilitado por este RD permitirá ahorros operativos masivos por la eliminación de procesos de identificación manuales. Los Staff Working </w:t>
      </w:r>
      <w:proofErr w:type="spellStart"/>
      <w:r w:rsidRPr="00A70719">
        <w:rPr>
          <w:rFonts w:eastAsia="Calibri"/>
          <w:szCs w:val="20"/>
        </w:rPr>
        <w:t>Documents</w:t>
      </w:r>
      <w:proofErr w:type="spellEnd"/>
      <w:r w:rsidRPr="00A70719">
        <w:rPr>
          <w:rFonts w:eastAsia="Calibri"/>
          <w:szCs w:val="20"/>
        </w:rPr>
        <w:t xml:space="preserve"> de la Comisión estiman ahorros anuales de entre 680 y 1.360 millones de euros en el sector financiero y hasta 2.510 millones en el ámbito de la </w:t>
      </w:r>
      <w:proofErr w:type="spellStart"/>
      <w:r w:rsidRPr="00A70719">
        <w:rPr>
          <w:rFonts w:eastAsia="Calibri"/>
          <w:szCs w:val="20"/>
        </w:rPr>
        <w:t>eSalud</w:t>
      </w:r>
      <w:proofErr w:type="spellEnd"/>
      <w:r w:rsidRPr="00A70719">
        <w:rPr>
          <w:rFonts w:eastAsia="Calibri"/>
          <w:szCs w:val="20"/>
        </w:rPr>
        <w:t>.</w:t>
      </w:r>
    </w:p>
    <w:p w14:paraId="48B0653A" w14:textId="77777777" w:rsidR="00A70719" w:rsidRPr="00A70719" w:rsidRDefault="00A70719" w:rsidP="00A70719">
      <w:pPr>
        <w:spacing w:after="0"/>
        <w:ind w:firstLine="709"/>
        <w:jc w:val="both"/>
        <w:rPr>
          <w:rFonts w:eastAsia="Calibri"/>
          <w:szCs w:val="20"/>
        </w:rPr>
      </w:pPr>
    </w:p>
    <w:p w14:paraId="32283B29" w14:textId="05AF4445" w:rsidR="00A70719" w:rsidRDefault="00A70719" w:rsidP="00A70719">
      <w:pPr>
        <w:spacing w:after="0"/>
        <w:ind w:firstLine="709"/>
        <w:jc w:val="both"/>
        <w:rPr>
          <w:rFonts w:eastAsia="Calibri"/>
          <w:szCs w:val="20"/>
        </w:rPr>
      </w:pPr>
      <w:r w:rsidRPr="00A70719">
        <w:rPr>
          <w:rFonts w:eastAsia="Calibri"/>
          <w:szCs w:val="20"/>
        </w:rPr>
        <w:t xml:space="preserve">En cuanto al </w:t>
      </w:r>
      <w:r w:rsidRPr="00A70719">
        <w:rPr>
          <w:rFonts w:eastAsia="Calibri"/>
          <w:b/>
          <w:bCs/>
          <w:szCs w:val="20"/>
        </w:rPr>
        <w:t>impacto en las Pequeñas y Medianas Empresas (</w:t>
      </w:r>
      <w:proofErr w:type="spellStart"/>
      <w:r w:rsidRPr="00A70719">
        <w:rPr>
          <w:rFonts w:eastAsia="Calibri"/>
          <w:b/>
          <w:bCs/>
          <w:szCs w:val="20"/>
        </w:rPr>
        <w:t>PYMEs</w:t>
      </w:r>
      <w:proofErr w:type="spellEnd"/>
      <w:r w:rsidRPr="00A70719">
        <w:rPr>
          <w:rFonts w:eastAsia="Calibri"/>
          <w:b/>
          <w:bCs/>
          <w:szCs w:val="20"/>
        </w:rPr>
        <w:t>),</w:t>
      </w:r>
      <w:r w:rsidRPr="00A70719">
        <w:rPr>
          <w:rFonts w:eastAsia="Calibri"/>
          <w:szCs w:val="20"/>
        </w:rPr>
        <w:t xml:space="preserve"> las cuales representan el 90% del tejido empresarial español, son las principales beneficiarias de la reducción de costes fijos de cumplimiento. Este real decreto, al regular el Registro Nacional de Partes Usuarias (que </w:t>
      </w:r>
      <w:r w:rsidR="006B44F6">
        <w:rPr>
          <w:rFonts w:eastAsia="Calibri"/>
          <w:szCs w:val="20"/>
        </w:rPr>
        <w:t>se desarrolla</w:t>
      </w:r>
      <w:r w:rsidRPr="00A70719">
        <w:rPr>
          <w:rFonts w:eastAsia="Calibri"/>
          <w:szCs w:val="20"/>
        </w:rPr>
        <w:t xml:space="preserve"> </w:t>
      </w:r>
      <w:r w:rsidR="006B44F6">
        <w:rPr>
          <w:rFonts w:eastAsia="Calibri"/>
          <w:szCs w:val="20"/>
        </w:rPr>
        <w:t>p</w:t>
      </w:r>
      <w:r w:rsidRPr="00A70719">
        <w:rPr>
          <w:rFonts w:eastAsia="Calibri"/>
          <w:szCs w:val="20"/>
        </w:rPr>
        <w:t xml:space="preserve">or una orden ministerial) y facilitar la interoperabilidad, permitirá a las </w:t>
      </w:r>
      <w:proofErr w:type="spellStart"/>
      <w:r w:rsidRPr="00A70719">
        <w:rPr>
          <w:rFonts w:eastAsia="Calibri"/>
          <w:szCs w:val="20"/>
        </w:rPr>
        <w:t>PYMEs</w:t>
      </w:r>
      <w:proofErr w:type="spellEnd"/>
      <w:r w:rsidRPr="00A70719">
        <w:rPr>
          <w:rFonts w:eastAsia="Calibri"/>
          <w:szCs w:val="20"/>
        </w:rPr>
        <w:t>:</w:t>
      </w:r>
    </w:p>
    <w:p w14:paraId="47D08F00" w14:textId="77777777" w:rsidR="006B44F6" w:rsidRPr="00A70719" w:rsidRDefault="006B44F6" w:rsidP="00A70719">
      <w:pPr>
        <w:spacing w:after="0"/>
        <w:ind w:firstLine="709"/>
        <w:jc w:val="both"/>
        <w:rPr>
          <w:rFonts w:eastAsia="Calibri"/>
          <w:szCs w:val="20"/>
        </w:rPr>
      </w:pPr>
    </w:p>
    <w:p w14:paraId="4C726C9C" w14:textId="77777777" w:rsidR="00A70719" w:rsidRDefault="00A70719" w:rsidP="00A70719">
      <w:pPr>
        <w:numPr>
          <w:ilvl w:val="0"/>
          <w:numId w:val="34"/>
        </w:numPr>
        <w:spacing w:after="0"/>
        <w:jc w:val="both"/>
        <w:rPr>
          <w:rFonts w:eastAsia="Calibri"/>
          <w:szCs w:val="20"/>
        </w:rPr>
      </w:pPr>
      <w:r w:rsidRPr="00A70719">
        <w:rPr>
          <w:rFonts w:eastAsia="Calibri"/>
          <w:szCs w:val="20"/>
        </w:rPr>
        <w:t>Reducir un 90% los costes de verificación de identidad de nuevos clientes.</w:t>
      </w:r>
    </w:p>
    <w:p w14:paraId="5CBD78E8" w14:textId="77777777" w:rsidR="00A70719" w:rsidRPr="00A70719" w:rsidRDefault="00A70719" w:rsidP="00A70719">
      <w:pPr>
        <w:numPr>
          <w:ilvl w:val="0"/>
          <w:numId w:val="34"/>
        </w:numPr>
        <w:spacing w:after="0"/>
        <w:jc w:val="both"/>
        <w:rPr>
          <w:rFonts w:eastAsia="Calibri"/>
          <w:szCs w:val="20"/>
        </w:rPr>
      </w:pPr>
      <w:r w:rsidRPr="00A70719">
        <w:rPr>
          <w:rFonts w:eastAsia="Calibri"/>
          <w:szCs w:val="20"/>
        </w:rPr>
        <w:t>Ahorrar una media de 20 horas anuales en interacciones con administraciones públicas y proveedores gracias al principio de "solo una vez" y al uso de atributos digitales verificables.</w:t>
      </w:r>
    </w:p>
    <w:p w14:paraId="6BD44D1F" w14:textId="77777777" w:rsidR="00A70719" w:rsidRPr="00A70719" w:rsidRDefault="00A70719" w:rsidP="00A70719">
      <w:pPr>
        <w:spacing w:after="0"/>
        <w:ind w:firstLine="709"/>
        <w:jc w:val="both"/>
        <w:rPr>
          <w:rFonts w:eastAsia="Calibri"/>
          <w:szCs w:val="20"/>
        </w:rPr>
      </w:pPr>
    </w:p>
    <w:p w14:paraId="4A9F8D3B" w14:textId="77777777" w:rsidR="00A70719" w:rsidRPr="00A70719" w:rsidRDefault="00A70719" w:rsidP="00A70719">
      <w:pPr>
        <w:suppressAutoHyphens/>
        <w:autoSpaceDE w:val="0"/>
        <w:autoSpaceDN w:val="0"/>
        <w:adjustRightInd w:val="0"/>
        <w:spacing w:after="0"/>
        <w:ind w:left="792"/>
        <w:jc w:val="both"/>
        <w:rPr>
          <w:rFonts w:eastAsia="Times New Roman"/>
          <w:b/>
          <w:bCs/>
          <w:kern w:val="1"/>
          <w:szCs w:val="20"/>
          <w:highlight w:val="yellow"/>
        </w:rPr>
      </w:pPr>
    </w:p>
    <w:p w14:paraId="65F9EAB8" w14:textId="77777777" w:rsidR="00A70719" w:rsidRPr="00A70719" w:rsidRDefault="00A70719" w:rsidP="00A70719">
      <w:pPr>
        <w:numPr>
          <w:ilvl w:val="0"/>
          <w:numId w:val="25"/>
        </w:numPr>
        <w:shd w:val="clear" w:color="auto" w:fill="C4BC96" w:themeFill="background2" w:themeFillShade="BF"/>
        <w:suppressAutoHyphens/>
        <w:spacing w:after="0"/>
        <w:contextualSpacing/>
        <w:jc w:val="both"/>
        <w:rPr>
          <w:rFonts w:eastAsia="Calibri"/>
          <w:b/>
          <w:bCs/>
          <w:szCs w:val="20"/>
          <w:lang w:val="en-US" w:eastAsia="en-US"/>
        </w:rPr>
      </w:pPr>
      <w:r w:rsidRPr="00A70719">
        <w:rPr>
          <w:rFonts w:eastAsia="Calibri"/>
          <w:b/>
          <w:bCs/>
          <w:szCs w:val="20"/>
          <w:lang w:val="en-US" w:eastAsia="en-US"/>
        </w:rPr>
        <w:t>Impacto</w:t>
      </w:r>
      <w:r w:rsidRPr="00A70719">
        <w:rPr>
          <w:rFonts w:eastAsia="Calibri"/>
          <w:b/>
          <w:bCs/>
          <w:szCs w:val="20"/>
          <w:lang w:val="es-AR" w:eastAsia="en-US"/>
        </w:rPr>
        <w:t xml:space="preserve"> presupuestario</w:t>
      </w:r>
      <w:r w:rsidRPr="00A70719">
        <w:rPr>
          <w:rFonts w:eastAsia="Calibri"/>
          <w:b/>
          <w:bCs/>
          <w:szCs w:val="20"/>
          <w:lang w:val="en-US" w:eastAsia="en-US"/>
        </w:rPr>
        <w:t>.</w:t>
      </w:r>
    </w:p>
    <w:p w14:paraId="3FAE9053" w14:textId="77777777" w:rsidR="00A70719" w:rsidRPr="00A70719" w:rsidRDefault="00A70719" w:rsidP="00A70719">
      <w:pPr>
        <w:spacing w:after="0"/>
        <w:ind w:firstLine="709"/>
        <w:jc w:val="both"/>
        <w:rPr>
          <w:rFonts w:eastAsia="Times New Roman"/>
          <w:szCs w:val="20"/>
        </w:rPr>
      </w:pPr>
    </w:p>
    <w:p w14:paraId="26E3A72E" w14:textId="77777777" w:rsidR="00A70719" w:rsidRPr="00A70719" w:rsidRDefault="00A70719" w:rsidP="00A70719">
      <w:pPr>
        <w:spacing w:before="120" w:after="160"/>
        <w:ind w:firstLine="426"/>
        <w:jc w:val="both"/>
        <w:rPr>
          <w:lang w:eastAsia="en-US"/>
        </w:rPr>
      </w:pPr>
      <w:r w:rsidRPr="00A70719">
        <w:rPr>
          <w:lang w:eastAsia="en-US"/>
        </w:rPr>
        <w:t xml:space="preserve">La puesta en marcha del proyecto de cartera europea de identidad digital nacional y su ecosistema hace necesario reforzar de forma transversal los recursos humanos y las capacidades </w:t>
      </w:r>
      <w:r w:rsidRPr="00A70719">
        <w:rPr>
          <w:lang w:eastAsia="en-US"/>
        </w:rPr>
        <w:lastRenderedPageBreak/>
        <w:t xml:space="preserve">organizativas precisas a los órganos, organismos y entidades que asumen roles y funciones para garantizar el adecuado desarrollo, implantación, seguimiento y gobernanza del proyecto. </w:t>
      </w:r>
    </w:p>
    <w:p w14:paraId="06916030" w14:textId="77777777" w:rsidR="00A70719" w:rsidRPr="00A70719" w:rsidRDefault="00A70719" w:rsidP="00A70719">
      <w:pPr>
        <w:spacing w:before="120" w:after="160"/>
        <w:ind w:firstLine="426"/>
        <w:jc w:val="both"/>
        <w:rPr>
          <w:lang w:eastAsia="en-US"/>
        </w:rPr>
      </w:pPr>
      <w:r w:rsidRPr="00A70719">
        <w:rPr>
          <w:lang w:eastAsia="en-US"/>
        </w:rPr>
        <w:t>Cabe reseñar que la cartera europea de identidad digital, su ecosistema, certificación y supervisión s</w:t>
      </w:r>
      <w:r w:rsidRPr="00A70719">
        <w:rPr>
          <w:color w:val="000000"/>
          <w:lang w:eastAsia="en-US"/>
        </w:rPr>
        <w:t xml:space="preserve">e crean para dar cumplimiento a las obligaciones establecidas del </w:t>
      </w:r>
      <w:r w:rsidRPr="00A70719">
        <w:rPr>
          <w:lang w:eastAsia="en-US"/>
        </w:rPr>
        <w:t xml:space="preserve">Reglamento </w:t>
      </w:r>
      <w:proofErr w:type="spellStart"/>
      <w:r w:rsidRPr="00A70719">
        <w:rPr>
          <w:lang w:eastAsia="en-US"/>
        </w:rPr>
        <w:t>eIDAS</w:t>
      </w:r>
      <w:proofErr w:type="spellEnd"/>
      <w:r w:rsidRPr="00A70719">
        <w:rPr>
          <w:lang w:eastAsia="en-US"/>
        </w:rPr>
        <w:t xml:space="preserve"> (Reglamento (UE) </w:t>
      </w:r>
      <w:proofErr w:type="spellStart"/>
      <w:r w:rsidRPr="00A70719">
        <w:rPr>
          <w:lang w:eastAsia="en-US"/>
        </w:rPr>
        <w:t>nº</w:t>
      </w:r>
      <w:proofErr w:type="spellEnd"/>
      <w:r w:rsidRPr="00A70719">
        <w:rPr>
          <w:lang w:eastAsia="en-US"/>
        </w:rPr>
        <w:t xml:space="preserve"> 910/2014, modificado por Reglamento (UE) 2024/1183 del Parlamento Europeo y del Consejo, de 11 de abril de 2024)</w:t>
      </w:r>
      <w:r w:rsidRPr="00A70719">
        <w:rPr>
          <w:color w:val="000000"/>
          <w:lang w:eastAsia="en-US"/>
        </w:rPr>
        <w:t xml:space="preserve"> de dotar a todos los Estados miembros de un medio de identidad digital común en la Unión Europea, con reconocimiento transfronterizo, y para contribuir a la digitalización y acercamiento de los servicios públicos y privados digitales mediante el uso de las carteras europeas. </w:t>
      </w:r>
    </w:p>
    <w:p w14:paraId="1223C810" w14:textId="77777777" w:rsidR="00A70719" w:rsidRPr="00A70719" w:rsidRDefault="00A70719" w:rsidP="00A70719">
      <w:pPr>
        <w:spacing w:after="0"/>
        <w:ind w:left="426"/>
        <w:jc w:val="both"/>
        <w:rPr>
          <w:rFonts w:eastAsia="Calibri"/>
          <w:b/>
          <w:bCs/>
          <w:szCs w:val="20"/>
        </w:rPr>
      </w:pPr>
    </w:p>
    <w:p w14:paraId="01BED141" w14:textId="77777777" w:rsidR="00A70719" w:rsidRPr="00A70719" w:rsidRDefault="00A70719" w:rsidP="00A70719">
      <w:pPr>
        <w:numPr>
          <w:ilvl w:val="0"/>
          <w:numId w:val="42"/>
        </w:numPr>
        <w:spacing w:after="0"/>
        <w:ind w:left="426"/>
        <w:jc w:val="both"/>
        <w:rPr>
          <w:rFonts w:eastAsia="Calibri"/>
          <w:b/>
          <w:bCs/>
          <w:szCs w:val="20"/>
        </w:rPr>
      </w:pPr>
      <w:r w:rsidRPr="00A70719">
        <w:rPr>
          <w:rFonts w:eastAsia="Times New Roman"/>
          <w:b/>
          <w:bCs/>
          <w:szCs w:val="20"/>
        </w:rPr>
        <w:t>Para la AEAD</w:t>
      </w:r>
    </w:p>
    <w:p w14:paraId="106E4A03" w14:textId="77777777" w:rsidR="00A70719" w:rsidRPr="00A70719" w:rsidRDefault="00A70719" w:rsidP="00A70719">
      <w:pPr>
        <w:spacing w:after="0"/>
        <w:ind w:left="426"/>
        <w:jc w:val="both"/>
        <w:rPr>
          <w:rFonts w:eastAsia="Calibri"/>
          <w:b/>
          <w:bCs/>
          <w:szCs w:val="20"/>
        </w:rPr>
      </w:pPr>
    </w:p>
    <w:p w14:paraId="721A0CB0" w14:textId="77777777" w:rsidR="00A70719" w:rsidRPr="00A70719" w:rsidRDefault="00A70719" w:rsidP="00A70719">
      <w:pPr>
        <w:spacing w:after="0"/>
        <w:ind w:firstLine="709"/>
        <w:jc w:val="both"/>
        <w:rPr>
          <w:rFonts w:eastAsia="Calibri"/>
          <w:szCs w:val="20"/>
        </w:rPr>
      </w:pPr>
      <w:r w:rsidRPr="00A70719">
        <w:rPr>
          <w:rFonts w:eastAsia="Calibri"/>
          <w:szCs w:val="20"/>
        </w:rPr>
        <w:t>El cumplimiento de las obligaciones derivadas del proyecto conlleva una necesidad de gasto directo para la AEAD, que asume los roles de proveedor de la cartera, punto de contacto único y responsable del registro nacional de partes usuarias.</w:t>
      </w:r>
    </w:p>
    <w:p w14:paraId="6C65A43C" w14:textId="77777777" w:rsidR="00A70719" w:rsidRPr="00A70719" w:rsidRDefault="00A70719" w:rsidP="00A70719">
      <w:pPr>
        <w:spacing w:after="0"/>
        <w:ind w:firstLine="709"/>
        <w:jc w:val="both"/>
        <w:rPr>
          <w:rFonts w:eastAsia="Calibri"/>
          <w:szCs w:val="20"/>
        </w:rPr>
      </w:pPr>
      <w:r w:rsidRPr="00A70719">
        <w:rPr>
          <w:rFonts w:eastAsia="Calibri"/>
          <w:szCs w:val="20"/>
        </w:rPr>
        <w:t>Se estima un impacto presupuestario de 3.000.000 € anuales para el ecosistema. Esta cantidad se destinará a cubrir los costes de desarrollo, mantenimiento evolutivo y despliegue de la infraestructura técnica de la Cartera, así como la gestión operativa del Registro Nacional de Partes Usuarias y la solución de correspondencia transfronteriza de identidad.</w:t>
      </w:r>
    </w:p>
    <w:p w14:paraId="125A8C02" w14:textId="77777777" w:rsidR="00A70719" w:rsidRPr="00A70719" w:rsidRDefault="00A70719" w:rsidP="00A70719">
      <w:pPr>
        <w:spacing w:after="0"/>
        <w:ind w:firstLine="709"/>
        <w:jc w:val="both"/>
        <w:rPr>
          <w:rFonts w:eastAsia="Calibri"/>
          <w:szCs w:val="20"/>
        </w:rPr>
      </w:pPr>
      <w:r w:rsidRPr="00A70719">
        <w:rPr>
          <w:rFonts w:eastAsia="Calibri"/>
          <w:szCs w:val="20"/>
        </w:rPr>
        <w:t xml:space="preserve">El importe engloba tanto gastos corrientes en bienes y servicios (Capítulo 2) para el soporte técnico e infraestructuras </w:t>
      </w:r>
      <w:proofErr w:type="spellStart"/>
      <w:r w:rsidRPr="008C2364">
        <w:rPr>
          <w:rFonts w:eastAsia="Calibri"/>
          <w:i/>
          <w:iCs/>
          <w:szCs w:val="20"/>
        </w:rPr>
        <w:t>cloud</w:t>
      </w:r>
      <w:proofErr w:type="spellEnd"/>
      <w:r w:rsidRPr="00A70719">
        <w:rPr>
          <w:rFonts w:eastAsia="Calibri"/>
          <w:szCs w:val="20"/>
        </w:rPr>
        <w:t>, como gastos de personal (Capítulo 1) asociados a las unidades encargadas de la supervisión técnica y atención al usuario.</w:t>
      </w:r>
    </w:p>
    <w:p w14:paraId="36B9E618" w14:textId="77777777" w:rsidR="00A70719" w:rsidRPr="00A70719" w:rsidRDefault="00A70719" w:rsidP="00A70719">
      <w:pPr>
        <w:spacing w:after="0"/>
        <w:ind w:firstLine="709"/>
        <w:jc w:val="both"/>
        <w:rPr>
          <w:rFonts w:eastAsia="Calibri"/>
          <w:szCs w:val="20"/>
        </w:rPr>
      </w:pPr>
      <w:r w:rsidRPr="00A70719">
        <w:rPr>
          <w:rFonts w:eastAsia="Calibri"/>
          <w:szCs w:val="20"/>
        </w:rPr>
        <w:t>Se prevé que estos costes puedan ser cubiertos mediante las dotaciones ordinarias de la AEAD consignadas en los Presupuestos Generales del Estado, sin perjuicio de la posible captación de fondos de la Unión Europea destinados a la digitalización de las administraciones públicas.</w:t>
      </w:r>
    </w:p>
    <w:p w14:paraId="14BCF77F" w14:textId="77777777" w:rsidR="00A70719" w:rsidRPr="00A70719" w:rsidRDefault="00A70719" w:rsidP="00A70719">
      <w:pPr>
        <w:spacing w:after="0"/>
        <w:jc w:val="both"/>
        <w:rPr>
          <w:rFonts w:eastAsia="Calibri"/>
          <w:szCs w:val="20"/>
        </w:rPr>
      </w:pPr>
    </w:p>
    <w:p w14:paraId="306F6F45" w14:textId="77777777" w:rsidR="00A70719" w:rsidRPr="00A70719" w:rsidRDefault="00A70719" w:rsidP="00A70719">
      <w:pPr>
        <w:numPr>
          <w:ilvl w:val="0"/>
          <w:numId w:val="42"/>
        </w:numPr>
        <w:spacing w:after="0"/>
        <w:ind w:left="426"/>
        <w:jc w:val="both"/>
        <w:rPr>
          <w:b/>
          <w:bCs/>
          <w:lang w:eastAsia="en-US"/>
        </w:rPr>
      </w:pPr>
      <w:r w:rsidRPr="00A70719">
        <w:rPr>
          <w:b/>
          <w:bCs/>
          <w:lang w:eastAsia="en-US"/>
        </w:rPr>
        <w:t>Para la DGOSDCA</w:t>
      </w:r>
    </w:p>
    <w:p w14:paraId="3E0C8362" w14:textId="77777777" w:rsidR="00A70719" w:rsidRPr="00A70719" w:rsidRDefault="00A70719" w:rsidP="00A70719">
      <w:pPr>
        <w:spacing w:after="0"/>
        <w:ind w:left="426"/>
        <w:jc w:val="both"/>
        <w:rPr>
          <w:b/>
          <w:bCs/>
          <w:lang w:eastAsia="en-US"/>
        </w:rPr>
      </w:pPr>
    </w:p>
    <w:p w14:paraId="01190DDD" w14:textId="77777777" w:rsidR="00A70719" w:rsidRPr="00A70719" w:rsidRDefault="00A70719" w:rsidP="00A70719">
      <w:pPr>
        <w:spacing w:after="160"/>
        <w:ind w:firstLine="426"/>
        <w:jc w:val="both"/>
        <w:rPr>
          <w:rFonts w:eastAsia="Aptos"/>
          <w:lang w:eastAsia="en-US"/>
        </w:rPr>
      </w:pPr>
      <w:r w:rsidRPr="00A70719">
        <w:rPr>
          <w:rFonts w:eastAsia="Aptos"/>
          <w:lang w:eastAsia="en-US"/>
        </w:rPr>
        <w:t xml:space="preserve">Este real decreto atribuye a la DGOSDCA nuevas funciones y competencias vinculadas al desarrollo de la identidad digital y, específicamente en el ámbito de los servicios de confianza, al servicio cualificado de expedición de declaraciones electrónicas cualificadas de atributos, en el marco del Reglamento </w:t>
      </w:r>
      <w:proofErr w:type="spellStart"/>
      <w:r w:rsidRPr="00A70719">
        <w:rPr>
          <w:rFonts w:eastAsia="Aptos"/>
          <w:lang w:eastAsia="en-US"/>
        </w:rPr>
        <w:t>eIDAS</w:t>
      </w:r>
      <w:proofErr w:type="spellEnd"/>
      <w:r w:rsidRPr="00A70719">
        <w:rPr>
          <w:rFonts w:eastAsia="Aptos"/>
          <w:lang w:eastAsia="en-US"/>
        </w:rPr>
        <w:t xml:space="preserve"> y de sus actos de ejecución. Estas nuevas responsabilidades se suman a las ya actualmente ejercidas por la Dirección General, incrementando de manera significativa el volumen, complejidad técnica y especialización de las actuaciones a desarrollar.</w:t>
      </w:r>
    </w:p>
    <w:p w14:paraId="393580CC" w14:textId="77777777" w:rsidR="00A70719" w:rsidRPr="00A70719" w:rsidRDefault="00A70719" w:rsidP="00A70719">
      <w:pPr>
        <w:spacing w:before="120" w:after="160"/>
        <w:ind w:firstLine="360"/>
        <w:jc w:val="both"/>
        <w:rPr>
          <w:rFonts w:eastAsia="Aptos"/>
          <w:lang w:eastAsia="en-US"/>
        </w:rPr>
      </w:pPr>
      <w:r w:rsidRPr="00A70719">
        <w:rPr>
          <w:rFonts w:eastAsia="Aptos"/>
          <w:lang w:eastAsia="en-US"/>
        </w:rPr>
        <w:t>En concreto,</w:t>
      </w:r>
      <w:r w:rsidRPr="00A70719">
        <w:rPr>
          <w:rFonts w:eastAsia="Aptos"/>
          <w:b/>
          <w:bCs/>
          <w:lang w:eastAsia="en-US"/>
        </w:rPr>
        <w:t xml:space="preserve"> </w:t>
      </w:r>
      <w:r w:rsidRPr="00A70719">
        <w:rPr>
          <w:rFonts w:eastAsia="Aptos"/>
          <w:lang w:eastAsia="en-US"/>
        </w:rPr>
        <w:t xml:space="preserve">la DGOSDCA </w:t>
      </w:r>
      <w:r w:rsidRPr="00A70719">
        <w:rPr>
          <w:rFonts w:eastAsia="Aptos"/>
          <w:b/>
          <w:bCs/>
          <w:lang w:eastAsia="en-US"/>
        </w:rPr>
        <w:t xml:space="preserve">asumiría las siguientes nuevas competencias relacionadas con este real decreto </w:t>
      </w:r>
      <w:r w:rsidRPr="00A70719">
        <w:rPr>
          <w:rFonts w:eastAsia="Aptos"/>
          <w:lang w:eastAsia="en-US"/>
        </w:rPr>
        <w:t>de manera continuada en el tiempo y con un marco que está previsto que crezca de forma exponencial:</w:t>
      </w:r>
    </w:p>
    <w:p w14:paraId="549ADDB6" w14:textId="77777777" w:rsidR="00A70719" w:rsidRPr="00A70719" w:rsidRDefault="00A70719" w:rsidP="00A70719">
      <w:pPr>
        <w:numPr>
          <w:ilvl w:val="0"/>
          <w:numId w:val="44"/>
        </w:numPr>
        <w:spacing w:after="0"/>
        <w:contextualSpacing/>
        <w:jc w:val="both"/>
        <w:rPr>
          <w:rFonts w:eastAsia="Aptos"/>
          <w:lang w:eastAsia="en-US"/>
        </w:rPr>
      </w:pPr>
      <w:r w:rsidRPr="00A70719">
        <w:rPr>
          <w:rFonts w:eastAsia="Aptos"/>
          <w:lang w:eastAsia="en-US"/>
        </w:rPr>
        <w:t>Organismo de supervisión del marco de cartera europea de identidad digital,</w:t>
      </w:r>
    </w:p>
    <w:p w14:paraId="54387EFC" w14:textId="77777777" w:rsidR="00A70719" w:rsidRPr="00A70719" w:rsidRDefault="00A70719" w:rsidP="00A70719">
      <w:pPr>
        <w:numPr>
          <w:ilvl w:val="0"/>
          <w:numId w:val="44"/>
        </w:numPr>
        <w:spacing w:after="0"/>
        <w:contextualSpacing/>
        <w:jc w:val="both"/>
        <w:rPr>
          <w:rFonts w:eastAsia="Aptos"/>
          <w:lang w:eastAsia="en-US"/>
        </w:rPr>
      </w:pPr>
      <w:r w:rsidRPr="00A70719">
        <w:rPr>
          <w:rFonts w:eastAsia="Aptos"/>
          <w:lang w:eastAsia="en-US"/>
        </w:rPr>
        <w:t>Organismo de supervisión del servicio de confianza cualificado consistente en la expedición de declaraciones electrónicas cualificadas de atributos.</w:t>
      </w:r>
    </w:p>
    <w:p w14:paraId="166C6AA8" w14:textId="77777777" w:rsidR="00A70719" w:rsidRPr="00A70719" w:rsidRDefault="00A70719" w:rsidP="00A70719">
      <w:pPr>
        <w:numPr>
          <w:ilvl w:val="0"/>
          <w:numId w:val="44"/>
        </w:numPr>
        <w:spacing w:after="0"/>
        <w:contextualSpacing/>
        <w:jc w:val="both"/>
        <w:rPr>
          <w:rFonts w:eastAsia="Aptos"/>
          <w:lang w:eastAsia="en-US"/>
        </w:rPr>
      </w:pPr>
      <w:r w:rsidRPr="00A70719">
        <w:rPr>
          <w:rFonts w:eastAsia="Aptos"/>
          <w:lang w:eastAsia="en-US"/>
        </w:rPr>
        <w:t xml:space="preserve">Autorizador de prestadores de emisión de certificados de acceso de partes usuarias de la cartera, </w:t>
      </w:r>
    </w:p>
    <w:p w14:paraId="58447217" w14:textId="77777777" w:rsidR="00A70719" w:rsidRPr="00A70719" w:rsidRDefault="00A70719" w:rsidP="00A70719">
      <w:pPr>
        <w:numPr>
          <w:ilvl w:val="0"/>
          <w:numId w:val="44"/>
        </w:numPr>
        <w:spacing w:after="0"/>
        <w:contextualSpacing/>
        <w:jc w:val="both"/>
        <w:rPr>
          <w:rFonts w:eastAsia="Aptos"/>
          <w:lang w:eastAsia="en-US"/>
        </w:rPr>
      </w:pPr>
      <w:r w:rsidRPr="00A70719">
        <w:rPr>
          <w:rFonts w:eastAsia="Aptos"/>
          <w:lang w:eastAsia="en-US"/>
        </w:rPr>
        <w:t>Autorizador de prestadores de emisión de certificados de registro de partes usuarias de la cartera,</w:t>
      </w:r>
    </w:p>
    <w:p w14:paraId="54D9CBFF" w14:textId="77777777" w:rsidR="00A70719" w:rsidRPr="00A70719" w:rsidRDefault="00A70719" w:rsidP="00A70719">
      <w:pPr>
        <w:numPr>
          <w:ilvl w:val="0"/>
          <w:numId w:val="44"/>
        </w:numPr>
        <w:spacing w:after="0"/>
        <w:contextualSpacing/>
        <w:jc w:val="both"/>
        <w:rPr>
          <w:rFonts w:eastAsia="Aptos"/>
          <w:lang w:eastAsia="en-US"/>
        </w:rPr>
      </w:pPr>
      <w:r w:rsidRPr="00A70719">
        <w:rPr>
          <w:rFonts w:eastAsia="Aptos"/>
          <w:lang w:eastAsia="en-US"/>
        </w:rPr>
        <w:t>Verificador de organismos públicos responsables de fuentes auténticas para la emisión de declaraciones electrónicas de atributos</w:t>
      </w:r>
    </w:p>
    <w:p w14:paraId="4273E834" w14:textId="77777777" w:rsidR="00A70719" w:rsidRPr="00A70719" w:rsidRDefault="00A70719" w:rsidP="00A70719">
      <w:pPr>
        <w:numPr>
          <w:ilvl w:val="0"/>
          <w:numId w:val="44"/>
        </w:numPr>
        <w:spacing w:after="0"/>
        <w:contextualSpacing/>
        <w:jc w:val="both"/>
        <w:rPr>
          <w:rFonts w:eastAsia="Aptos"/>
          <w:lang w:eastAsia="en-US"/>
        </w:rPr>
      </w:pPr>
      <w:r w:rsidRPr="00A70719">
        <w:rPr>
          <w:rFonts w:eastAsia="Aptos"/>
          <w:lang w:eastAsia="en-US"/>
        </w:rPr>
        <w:lastRenderedPageBreak/>
        <w:t>Responsable de la gestión y actualización de las lista de confianza en lo relativo a los prestadores y al servicio de confianza cualificado de expedición de declaraciones electrónicas cualificadas de atributos, así como de la información correspondiente a los proveedores de datos de identificación de la persona, los proveedores de carteras europeas de identidad digital, los proveedores de certificados de acceso de las partes usuarias de la cartera y, previsiblemente, los proveedores de certificados de registro de las partes usuarias de la cartera.</w:t>
      </w:r>
    </w:p>
    <w:p w14:paraId="739FE250" w14:textId="34F2611D" w:rsidR="00A70719" w:rsidRPr="008C2364" w:rsidRDefault="008C2364" w:rsidP="008C2364">
      <w:pPr>
        <w:spacing w:before="120" w:after="160"/>
        <w:ind w:firstLine="360"/>
        <w:jc w:val="both"/>
        <w:rPr>
          <w:rFonts w:eastAsia="Aptos"/>
          <w:lang w:eastAsia="en-US"/>
        </w:rPr>
      </w:pPr>
      <w:r w:rsidRPr="008C2364">
        <w:rPr>
          <w:rFonts w:eastAsia="Aptos"/>
          <w:lang w:eastAsia="en-US"/>
        </w:rPr>
        <w:t xml:space="preserve">La creación y dotación de </w:t>
      </w:r>
      <w:r>
        <w:rPr>
          <w:rFonts w:eastAsia="Aptos"/>
          <w:lang w:eastAsia="en-US"/>
        </w:rPr>
        <w:t>los</w:t>
      </w:r>
      <w:r w:rsidRPr="008C2364">
        <w:rPr>
          <w:rFonts w:eastAsia="Aptos"/>
          <w:lang w:eastAsia="en-US"/>
        </w:rPr>
        <w:t xml:space="preserve"> puestos </w:t>
      </w:r>
      <w:r>
        <w:rPr>
          <w:rFonts w:eastAsia="Aptos"/>
          <w:lang w:eastAsia="en-US"/>
        </w:rPr>
        <w:t xml:space="preserve">requeridos </w:t>
      </w:r>
      <w:r w:rsidRPr="008C2364">
        <w:rPr>
          <w:rFonts w:eastAsia="Aptos"/>
          <w:lang w:eastAsia="en-US"/>
        </w:rPr>
        <w:t>tendrá el correspondiente impacto económico y presupuestario, derivado de las necesidades de personal y funcionamiento asociadas al ejercicio de las nuevas competencias asumidas. Dicho impacto será atendido de conformidad con las disponibilidades presupuestarias existentes y la capacidad para atender las adicionales que, en su caso, resulten necesarias</w:t>
      </w:r>
      <w:r>
        <w:rPr>
          <w:rFonts w:eastAsia="Aptos"/>
          <w:lang w:eastAsia="en-US"/>
        </w:rPr>
        <w:t>.</w:t>
      </w:r>
    </w:p>
    <w:p w14:paraId="246B9C89" w14:textId="77777777" w:rsidR="00213F01" w:rsidRPr="00A70719" w:rsidRDefault="00213F01" w:rsidP="00A70719">
      <w:pPr>
        <w:suppressAutoHyphens/>
        <w:autoSpaceDE w:val="0"/>
        <w:autoSpaceDN w:val="0"/>
        <w:adjustRightInd w:val="0"/>
        <w:spacing w:after="0"/>
        <w:jc w:val="both"/>
        <w:rPr>
          <w:rFonts w:eastAsia="Times New Roman"/>
          <w:kern w:val="1"/>
          <w:szCs w:val="20"/>
          <w:highlight w:val="yellow"/>
        </w:rPr>
      </w:pPr>
    </w:p>
    <w:p w14:paraId="2FF549F8" w14:textId="77777777" w:rsidR="00A70719" w:rsidRPr="00A70719" w:rsidRDefault="00A70719" w:rsidP="00A70719">
      <w:pPr>
        <w:numPr>
          <w:ilvl w:val="0"/>
          <w:numId w:val="25"/>
        </w:numPr>
        <w:shd w:val="clear" w:color="auto" w:fill="C4BC96" w:themeFill="background2" w:themeFillShade="BF"/>
        <w:suppressAutoHyphens/>
        <w:spacing w:after="0"/>
        <w:contextualSpacing/>
        <w:jc w:val="both"/>
        <w:rPr>
          <w:rFonts w:eastAsia="Calibri"/>
          <w:b/>
          <w:bCs/>
          <w:sz w:val="24"/>
          <w:szCs w:val="24"/>
          <w:lang w:val="es-ES_tradnl" w:eastAsia="en-US"/>
        </w:rPr>
      </w:pPr>
      <w:r w:rsidRPr="00A70719">
        <w:rPr>
          <w:rFonts w:eastAsia="Calibri"/>
          <w:b/>
          <w:bCs/>
          <w:sz w:val="24"/>
          <w:szCs w:val="24"/>
          <w:lang w:val="es-ES_tradnl" w:eastAsia="en-US"/>
        </w:rPr>
        <w:t>Análisis de las cargas administrativas.</w:t>
      </w:r>
    </w:p>
    <w:p w14:paraId="70236E55" w14:textId="77777777" w:rsidR="00A70719" w:rsidRPr="00A70719" w:rsidRDefault="00A70719" w:rsidP="00A70719">
      <w:pPr>
        <w:suppressAutoHyphens/>
        <w:autoSpaceDE w:val="0"/>
        <w:autoSpaceDN w:val="0"/>
        <w:adjustRightInd w:val="0"/>
        <w:spacing w:after="0"/>
        <w:jc w:val="both"/>
        <w:rPr>
          <w:rFonts w:eastAsia="Times New Roman"/>
          <w:kern w:val="1"/>
          <w:sz w:val="24"/>
          <w:szCs w:val="24"/>
          <w:highlight w:val="yellow"/>
        </w:rPr>
      </w:pPr>
    </w:p>
    <w:p w14:paraId="1A4C9869" w14:textId="77777777" w:rsidR="00A70719" w:rsidRDefault="00A70719" w:rsidP="00A70719">
      <w:pPr>
        <w:spacing w:after="0"/>
        <w:ind w:firstLine="709"/>
        <w:jc w:val="both"/>
        <w:rPr>
          <w:rFonts w:eastAsia="Times New Roman"/>
          <w:szCs w:val="20"/>
        </w:rPr>
      </w:pPr>
      <w:r w:rsidRPr="00A70719">
        <w:rPr>
          <w:rFonts w:eastAsia="Times New Roman"/>
          <w:szCs w:val="20"/>
        </w:rPr>
        <w:t>La norma actúa como el habilitador jurídico necesario para el despliegue de la Cartera Europea de Identidad Digital en España, lo que permitirá la sustitución sistemática de trámites basados en soportes físicos por interacciones puramente digitales. La reducción de cargas se fundamenta en la aplicación del principio de "solo una vez" y en la eliminación de la obligación de los ciudadanos de aportar documentos que ya obren en poder de la Administración o que puedan ser verificados de forma autónoma mediante declaraciones electrónicas de atributos.</w:t>
      </w:r>
    </w:p>
    <w:p w14:paraId="6795310C" w14:textId="77777777" w:rsidR="00537DF1" w:rsidRDefault="00537DF1" w:rsidP="00A70719">
      <w:pPr>
        <w:spacing w:after="0"/>
        <w:ind w:firstLine="709"/>
        <w:jc w:val="both"/>
        <w:rPr>
          <w:rFonts w:eastAsia="Times New Roman"/>
          <w:szCs w:val="20"/>
        </w:rPr>
      </w:pPr>
    </w:p>
    <w:p w14:paraId="48064828" w14:textId="77777777" w:rsidR="00A70719" w:rsidRPr="00A70719" w:rsidRDefault="00A70719" w:rsidP="00A70719">
      <w:pPr>
        <w:spacing w:after="0"/>
        <w:jc w:val="both"/>
        <w:rPr>
          <w:rFonts w:eastAsia="Times New Roman"/>
          <w:b/>
          <w:bCs/>
          <w:szCs w:val="20"/>
        </w:rPr>
      </w:pPr>
      <w:r w:rsidRPr="00A70719">
        <w:rPr>
          <w:rFonts w:eastAsia="Times New Roman"/>
          <w:b/>
          <w:bCs/>
          <w:szCs w:val="20"/>
        </w:rPr>
        <w:t xml:space="preserve">Cuantificación según el Método Simplificado: </w:t>
      </w:r>
    </w:p>
    <w:p w14:paraId="340B04B8" w14:textId="77777777" w:rsidR="00A70719" w:rsidRPr="00A70719" w:rsidRDefault="00A70719" w:rsidP="00A70719">
      <w:pPr>
        <w:spacing w:after="0"/>
        <w:jc w:val="both"/>
        <w:rPr>
          <w:rFonts w:eastAsia="Times New Roman"/>
          <w:b/>
          <w:bCs/>
          <w:szCs w:val="20"/>
        </w:rPr>
      </w:pPr>
    </w:p>
    <w:p w14:paraId="25C0C6AF"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t>Tomando como referencia los valores estándar del Anexo V de la Guía Metodológica para la elaboración de la Memoria de Análisis de Impacto Normativo</w:t>
      </w:r>
      <w:r w:rsidRPr="00A70719">
        <w:rPr>
          <w:rFonts w:eastAsia="Times New Roman"/>
          <w:szCs w:val="20"/>
          <w:vertAlign w:val="superscript"/>
        </w:rPr>
        <w:footnoteReference w:id="6"/>
      </w:r>
      <w:r w:rsidRPr="00A70719">
        <w:rPr>
          <w:rFonts w:eastAsia="Times New Roman"/>
          <w:szCs w:val="20"/>
        </w:rPr>
        <w:t>, la transición hacia el ecosistema de la Cartera genera un ahorro neto por cada interacción administrativa de la siguiente manera:</w:t>
      </w:r>
    </w:p>
    <w:p w14:paraId="6F92F81F" w14:textId="77777777" w:rsidR="00A70719" w:rsidRPr="00A70719" w:rsidRDefault="00A70719" w:rsidP="00A70719">
      <w:pPr>
        <w:numPr>
          <w:ilvl w:val="0"/>
          <w:numId w:val="35"/>
        </w:numPr>
        <w:spacing w:after="0"/>
        <w:jc w:val="both"/>
        <w:rPr>
          <w:rFonts w:eastAsia="Times New Roman"/>
          <w:szCs w:val="20"/>
        </w:rPr>
      </w:pPr>
      <w:r w:rsidRPr="00A70719">
        <w:rPr>
          <w:rFonts w:eastAsia="Times New Roman"/>
          <w:szCs w:val="20"/>
        </w:rPr>
        <w:t>Coste de solicitud presencial: 80 €.</w:t>
      </w:r>
    </w:p>
    <w:p w14:paraId="7445A137" w14:textId="77777777" w:rsidR="00A70719" w:rsidRPr="00A70719" w:rsidRDefault="00A70719" w:rsidP="00A70719">
      <w:pPr>
        <w:numPr>
          <w:ilvl w:val="0"/>
          <w:numId w:val="35"/>
        </w:numPr>
        <w:spacing w:after="0"/>
        <w:jc w:val="both"/>
        <w:rPr>
          <w:rFonts w:eastAsia="Times New Roman"/>
          <w:szCs w:val="20"/>
        </w:rPr>
      </w:pPr>
      <w:r w:rsidRPr="00A70719">
        <w:rPr>
          <w:rFonts w:eastAsia="Times New Roman"/>
          <w:szCs w:val="20"/>
        </w:rPr>
        <w:t>Coste de solicitud electrónica: 5 €.</w:t>
      </w:r>
    </w:p>
    <w:p w14:paraId="2E46A0CF" w14:textId="77777777" w:rsidR="00A70719" w:rsidRPr="00A70719" w:rsidRDefault="00A70719" w:rsidP="00A70719">
      <w:pPr>
        <w:numPr>
          <w:ilvl w:val="0"/>
          <w:numId w:val="35"/>
        </w:numPr>
        <w:spacing w:after="0"/>
        <w:jc w:val="both"/>
        <w:rPr>
          <w:rFonts w:eastAsia="Times New Roman"/>
          <w:szCs w:val="20"/>
        </w:rPr>
      </w:pPr>
      <w:r w:rsidRPr="00A70719">
        <w:rPr>
          <w:rFonts w:eastAsia="Times New Roman"/>
          <w:szCs w:val="20"/>
        </w:rPr>
        <w:t>Ahorro unitario: 75 € por cada trámite que pase de la modalidad presencial a la digital mediante el uso de la Cartera.</w:t>
      </w:r>
    </w:p>
    <w:p w14:paraId="6693F957"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t>Adicionalmente, se identifica un ahorro derivado de la simplificación documental, al evitar la aportación de datos (valorado en 2 € por dato) y la presentación de copias compulsadas (valorado en 1 € adicional), gracias a la validez legal intrínseca de las credenciales digitales que porta el usuario.</w:t>
      </w:r>
    </w:p>
    <w:p w14:paraId="55D17E22" w14:textId="77777777" w:rsidR="00A70719" w:rsidRPr="00A70719" w:rsidRDefault="00A70719" w:rsidP="00A70719">
      <w:pPr>
        <w:spacing w:after="0"/>
        <w:ind w:firstLine="709"/>
        <w:jc w:val="both"/>
        <w:rPr>
          <w:rFonts w:eastAsia="Times New Roman"/>
          <w:szCs w:val="20"/>
        </w:rPr>
      </w:pPr>
      <w:r w:rsidRPr="00A70719">
        <w:rPr>
          <w:rFonts w:eastAsia="Times New Roman"/>
          <w:szCs w:val="20"/>
        </w:rPr>
        <w:t>Impacto Agregado y Referencias Europeas Basándose en los análisis de impacto de la Comisión Europea (SWD/2021/124), se estima que el uso de la Cartera producirá los siguientes beneficios sistémicos:</w:t>
      </w:r>
    </w:p>
    <w:p w14:paraId="60E0BE09" w14:textId="77777777" w:rsidR="00A70719" w:rsidRPr="00A70719" w:rsidRDefault="00A70719" w:rsidP="00A70719">
      <w:pPr>
        <w:numPr>
          <w:ilvl w:val="0"/>
          <w:numId w:val="36"/>
        </w:numPr>
        <w:spacing w:after="0"/>
        <w:jc w:val="both"/>
        <w:rPr>
          <w:rFonts w:eastAsia="Times New Roman"/>
          <w:szCs w:val="20"/>
        </w:rPr>
      </w:pPr>
      <w:r w:rsidRPr="00A70719">
        <w:rPr>
          <w:rFonts w:eastAsia="Times New Roman"/>
          <w:szCs w:val="20"/>
          <w:u w:val="single"/>
        </w:rPr>
        <w:t>Ahorro para la ciudadanía:</w:t>
      </w:r>
      <w:r w:rsidRPr="00A70719">
        <w:rPr>
          <w:rFonts w:eastAsia="Times New Roman"/>
          <w:szCs w:val="20"/>
        </w:rPr>
        <w:t xml:space="preserve"> Una reducción de las cargas administrativas estimada entre 350 y 400 millones de euros anuales a nivel de la Unión Europea por el ahorro de tiempo y recursos en la gestión de evidencias.</w:t>
      </w:r>
    </w:p>
    <w:p w14:paraId="28E73763" w14:textId="77777777" w:rsidR="00A70719" w:rsidRPr="00A70719" w:rsidRDefault="00A70719" w:rsidP="00A70719">
      <w:pPr>
        <w:numPr>
          <w:ilvl w:val="0"/>
          <w:numId w:val="36"/>
        </w:numPr>
        <w:spacing w:after="0"/>
        <w:jc w:val="both"/>
        <w:rPr>
          <w:rFonts w:eastAsia="Times New Roman"/>
          <w:szCs w:val="20"/>
        </w:rPr>
      </w:pPr>
      <w:r w:rsidRPr="00A70719">
        <w:rPr>
          <w:rFonts w:eastAsia="Times New Roman"/>
          <w:szCs w:val="20"/>
          <w:u w:val="single"/>
        </w:rPr>
        <w:t>Eficiencia temporal:</w:t>
      </w:r>
      <w:r w:rsidRPr="00A70719">
        <w:rPr>
          <w:rFonts w:eastAsia="Times New Roman"/>
          <w:szCs w:val="20"/>
        </w:rPr>
        <w:t xml:space="preserve"> Se proyecta un ahorro medio de 20 horas anuales por ciudadano en interacciones con administraciones y entidades privadas, al eliminar desplazamientos y esperas físicas.</w:t>
      </w:r>
    </w:p>
    <w:p w14:paraId="49449BD1" w14:textId="77777777" w:rsidR="00A70719" w:rsidRPr="00A70719" w:rsidRDefault="00A70719" w:rsidP="00A70719">
      <w:pPr>
        <w:numPr>
          <w:ilvl w:val="0"/>
          <w:numId w:val="36"/>
        </w:numPr>
        <w:spacing w:after="0"/>
        <w:jc w:val="both"/>
        <w:rPr>
          <w:rFonts w:eastAsia="Times New Roman"/>
          <w:szCs w:val="20"/>
        </w:rPr>
      </w:pPr>
      <w:r w:rsidRPr="00A70719">
        <w:rPr>
          <w:rFonts w:eastAsia="Times New Roman"/>
          <w:szCs w:val="20"/>
          <w:u w:val="single"/>
        </w:rPr>
        <w:lastRenderedPageBreak/>
        <w:t>Beneficios para el sector privado:</w:t>
      </w:r>
      <w:r w:rsidRPr="00A70719">
        <w:rPr>
          <w:rFonts w:eastAsia="Times New Roman"/>
          <w:szCs w:val="20"/>
        </w:rPr>
        <w:t xml:space="preserve"> Las empresas verán reducidos sus costes operativos de identificación en sectores regulados hasta en un 25% anual. En el caso de las PYMES, se estima un ahorro acumulado de hasta 4.100 millones de euros al año en el conjunto de la Unión (unos 800 € de media por PYME) debido a la simplificación de procesos transfronterizos.</w:t>
      </w:r>
    </w:p>
    <w:p w14:paraId="681A8C5F" w14:textId="77777777" w:rsidR="00A70719" w:rsidRPr="00A70719" w:rsidRDefault="00A70719" w:rsidP="00A70719">
      <w:pPr>
        <w:spacing w:after="0"/>
        <w:ind w:firstLine="709"/>
        <w:jc w:val="both"/>
        <w:rPr>
          <w:rFonts w:eastAsia="Times New Roman"/>
          <w:szCs w:val="20"/>
        </w:rPr>
      </w:pPr>
    </w:p>
    <w:p w14:paraId="5D88047B" w14:textId="77777777" w:rsidR="00A70719" w:rsidRPr="00A70719" w:rsidRDefault="00A70719" w:rsidP="00A70719">
      <w:pPr>
        <w:suppressAutoHyphens/>
        <w:autoSpaceDE w:val="0"/>
        <w:autoSpaceDN w:val="0"/>
        <w:adjustRightInd w:val="0"/>
        <w:spacing w:after="0"/>
        <w:jc w:val="both"/>
        <w:rPr>
          <w:rFonts w:eastAsia="Calibri"/>
          <w:kern w:val="1"/>
          <w:szCs w:val="20"/>
          <w:lang w:eastAsia="en-US"/>
        </w:rPr>
      </w:pPr>
      <w:r w:rsidRPr="00A70719">
        <w:rPr>
          <w:rFonts w:eastAsia="Calibri"/>
          <w:szCs w:val="20"/>
          <w:lang w:eastAsia="en-US"/>
        </w:rPr>
        <w:t xml:space="preserve"> </w:t>
      </w:r>
    </w:p>
    <w:p w14:paraId="4620D912" w14:textId="77777777" w:rsidR="00A70719" w:rsidRPr="00A70719" w:rsidRDefault="00A70719" w:rsidP="00A70719">
      <w:pPr>
        <w:numPr>
          <w:ilvl w:val="0"/>
          <w:numId w:val="25"/>
        </w:numPr>
        <w:shd w:val="clear" w:color="auto" w:fill="C4BC96" w:themeFill="background2" w:themeFillShade="BF"/>
        <w:suppressAutoHyphens/>
        <w:spacing w:after="0"/>
        <w:contextualSpacing/>
        <w:jc w:val="both"/>
        <w:rPr>
          <w:rFonts w:eastAsia="Calibri"/>
          <w:b/>
          <w:bCs/>
          <w:sz w:val="24"/>
          <w:szCs w:val="24"/>
          <w:lang w:val="es-ES_tradnl" w:eastAsia="en-US"/>
        </w:rPr>
      </w:pPr>
      <w:r w:rsidRPr="00A70719">
        <w:rPr>
          <w:rFonts w:eastAsia="Calibri"/>
          <w:b/>
          <w:bCs/>
          <w:sz w:val="24"/>
          <w:szCs w:val="24"/>
          <w:lang w:val="es-ES_tradnl" w:eastAsia="en-US"/>
        </w:rPr>
        <w:t>Impacto por razón de género.</w:t>
      </w:r>
      <w:r w:rsidRPr="00A70719">
        <w:rPr>
          <w:rFonts w:eastAsia="Calibri"/>
          <w:b/>
          <w:bCs/>
          <w:szCs w:val="20"/>
          <w:lang w:val="es-ES_tradnl" w:eastAsia="en-US"/>
        </w:rPr>
        <w:fldChar w:fldCharType="begin"/>
      </w:r>
      <w:r w:rsidRPr="00A70719">
        <w:rPr>
          <w:rFonts w:eastAsia="Calibri"/>
          <w:b/>
          <w:bCs/>
          <w:szCs w:val="20"/>
          <w:lang w:val="es-ES_tradnl" w:eastAsia="en-US"/>
        </w:rPr>
        <w:instrText xml:space="preserve"> XE "5.5. Impacto por razón de género." </w:instrText>
      </w:r>
      <w:r w:rsidRPr="00A70719">
        <w:rPr>
          <w:rFonts w:eastAsia="Calibri"/>
          <w:b/>
          <w:bCs/>
          <w:szCs w:val="20"/>
          <w:lang w:val="es-ES_tradnl" w:eastAsia="en-US"/>
        </w:rPr>
        <w:fldChar w:fldCharType="end"/>
      </w:r>
    </w:p>
    <w:p w14:paraId="75346113" w14:textId="77777777" w:rsidR="00A70719" w:rsidRPr="00A70719" w:rsidRDefault="00A70719" w:rsidP="00A70719">
      <w:pPr>
        <w:spacing w:after="0"/>
        <w:jc w:val="both"/>
        <w:rPr>
          <w:rFonts w:eastAsia="Calibri"/>
          <w:szCs w:val="20"/>
          <w:lang w:eastAsia="en-US"/>
        </w:rPr>
      </w:pPr>
    </w:p>
    <w:p w14:paraId="757D186D" w14:textId="77FA521C" w:rsidR="00A70719" w:rsidRPr="00222CB8" w:rsidRDefault="00A70719" w:rsidP="00A70719">
      <w:pPr>
        <w:spacing w:after="0"/>
        <w:ind w:firstLine="709"/>
        <w:jc w:val="both"/>
        <w:rPr>
          <w:rFonts w:eastAsia="Calibri"/>
          <w:szCs w:val="20"/>
        </w:rPr>
      </w:pPr>
      <w:r w:rsidRPr="00222CB8">
        <w:rPr>
          <w:rFonts w:eastAsia="Calibri"/>
          <w:szCs w:val="20"/>
        </w:rPr>
        <w:t>Analizada la propuesta desde la perspectiva de género, de conformidad con lo dispuesto en la Ley Orgánica 3/2007, de 22 de marzo, para la igualdad efectiva entre mujeres y hombres, y 26.3.f)</w:t>
      </w:r>
      <w:r w:rsidR="00537DF1" w:rsidRPr="00222CB8">
        <w:rPr>
          <w:rFonts w:eastAsia="Calibri"/>
          <w:szCs w:val="20"/>
        </w:rPr>
        <w:t xml:space="preserve"> LG</w:t>
      </w:r>
      <w:r w:rsidRPr="00222CB8">
        <w:rPr>
          <w:rFonts w:eastAsia="Calibri"/>
          <w:szCs w:val="20"/>
        </w:rPr>
        <w:t>, se concluye que el impacto por razón de género es nulo.</w:t>
      </w:r>
    </w:p>
    <w:p w14:paraId="10069B01" w14:textId="77777777" w:rsidR="0048285C" w:rsidRDefault="0048285C" w:rsidP="00A70719">
      <w:pPr>
        <w:spacing w:after="0"/>
        <w:ind w:firstLine="709"/>
        <w:jc w:val="both"/>
        <w:rPr>
          <w:rFonts w:eastAsia="Calibri"/>
          <w:szCs w:val="20"/>
        </w:rPr>
      </w:pPr>
    </w:p>
    <w:p w14:paraId="5B1EF79F" w14:textId="77777777" w:rsidR="00A70719" w:rsidRPr="00A70719" w:rsidRDefault="00A70719" w:rsidP="00A70719">
      <w:pPr>
        <w:spacing w:after="0"/>
        <w:jc w:val="both"/>
        <w:rPr>
          <w:rFonts w:eastAsia="Calibri"/>
          <w:szCs w:val="20"/>
          <w:lang w:eastAsia="en-US"/>
        </w:rPr>
      </w:pPr>
    </w:p>
    <w:p w14:paraId="4E0E6980" w14:textId="77777777" w:rsidR="00A70719" w:rsidRPr="00A70719" w:rsidRDefault="00A70719" w:rsidP="00A70719">
      <w:pPr>
        <w:numPr>
          <w:ilvl w:val="0"/>
          <w:numId w:val="25"/>
        </w:numPr>
        <w:shd w:val="clear" w:color="auto" w:fill="C4BC96" w:themeFill="background2" w:themeFillShade="BF"/>
        <w:suppressAutoHyphens/>
        <w:spacing w:after="0"/>
        <w:contextualSpacing/>
        <w:jc w:val="both"/>
        <w:rPr>
          <w:rFonts w:eastAsia="Calibri"/>
          <w:b/>
          <w:bCs/>
          <w:sz w:val="24"/>
          <w:szCs w:val="24"/>
          <w:lang w:val="es-ES_tradnl" w:eastAsia="en-US"/>
        </w:rPr>
      </w:pPr>
      <w:r w:rsidRPr="00A70719">
        <w:rPr>
          <w:rFonts w:eastAsia="Calibri"/>
          <w:b/>
          <w:bCs/>
          <w:sz w:val="24"/>
          <w:szCs w:val="24"/>
          <w:lang w:val="es-ES_tradnl" w:eastAsia="en-US"/>
        </w:rPr>
        <w:t>Otros impactos.</w:t>
      </w:r>
      <w:r w:rsidRPr="00A70719">
        <w:rPr>
          <w:rFonts w:eastAsia="Calibri"/>
          <w:b/>
          <w:bCs/>
          <w:sz w:val="24"/>
          <w:szCs w:val="24"/>
          <w:lang w:val="es-ES_tradnl" w:eastAsia="en-US"/>
        </w:rPr>
        <w:fldChar w:fldCharType="begin"/>
      </w:r>
      <w:r w:rsidRPr="00A70719">
        <w:rPr>
          <w:rFonts w:eastAsia="Calibri"/>
          <w:b/>
          <w:bCs/>
          <w:sz w:val="24"/>
          <w:szCs w:val="24"/>
          <w:lang w:val="es-ES_tradnl" w:eastAsia="en-US"/>
        </w:rPr>
        <w:instrText xml:space="preserve"> XE "5.6. Impacto en la infancia y en la adolescencia." </w:instrText>
      </w:r>
      <w:r w:rsidRPr="00A70719">
        <w:rPr>
          <w:rFonts w:eastAsia="Calibri"/>
          <w:b/>
          <w:bCs/>
          <w:sz w:val="24"/>
          <w:szCs w:val="24"/>
          <w:lang w:val="es-ES_tradnl" w:eastAsia="en-US"/>
        </w:rPr>
        <w:fldChar w:fldCharType="end"/>
      </w:r>
    </w:p>
    <w:p w14:paraId="19F22C11" w14:textId="77777777" w:rsidR="00A70719" w:rsidRPr="00A70719" w:rsidRDefault="00A70719" w:rsidP="00A70719">
      <w:pPr>
        <w:spacing w:after="0"/>
        <w:jc w:val="both"/>
        <w:rPr>
          <w:rFonts w:eastAsia="Calibri"/>
          <w:szCs w:val="20"/>
          <w:lang w:eastAsia="en-US"/>
        </w:rPr>
      </w:pPr>
    </w:p>
    <w:p w14:paraId="7A915679" w14:textId="77777777" w:rsidR="00A70719" w:rsidRPr="00A70719" w:rsidRDefault="00A70719" w:rsidP="00A70719">
      <w:pPr>
        <w:suppressAutoHyphens/>
        <w:spacing w:after="0"/>
        <w:ind w:firstLine="360"/>
        <w:jc w:val="both"/>
        <w:rPr>
          <w:rFonts w:eastAsia="Times New Roman"/>
          <w:szCs w:val="20"/>
        </w:rPr>
      </w:pPr>
      <w:r w:rsidRPr="00A70719">
        <w:rPr>
          <w:rFonts w:eastAsia="Times New Roman"/>
          <w:szCs w:val="20"/>
        </w:rPr>
        <w:t xml:space="preserve">De acuerdo con lo previsto en el artículo 2.1.g) del Real Decreto 931/2017, de 27 de octubre, por el que se regula la Memoria del Análisis de Impacto Normativo, esta incluirá cualquier otro extremo que pudiera ser relevante a criterio del órgano proponente, prestando especial atención a los impactos de carácter social y medioambiental, al impacto en materia de igualdad de oportunidades, no discriminación y accesibilidad universal de las personas con discapacidad y al impacto que tendrá para la ciudadanía y para la Administración el desarrollo o uso de los medios y servicios de la Administración digital que conlleve la norma. </w:t>
      </w:r>
    </w:p>
    <w:p w14:paraId="34AF590B" w14:textId="77777777" w:rsidR="00A70719" w:rsidRPr="00A70719" w:rsidRDefault="00A70719" w:rsidP="00A70719">
      <w:pPr>
        <w:suppressAutoHyphens/>
        <w:spacing w:after="0"/>
        <w:ind w:firstLine="360"/>
        <w:jc w:val="both"/>
        <w:rPr>
          <w:rFonts w:eastAsia="Times New Roman"/>
          <w:szCs w:val="20"/>
        </w:rPr>
      </w:pPr>
      <w:r w:rsidRPr="00A70719">
        <w:rPr>
          <w:rFonts w:eastAsia="Times New Roman"/>
          <w:szCs w:val="20"/>
        </w:rPr>
        <w:t>A tal efecto, sin perjuicio de lo ya señalado en cuanto al desarrollo o uso de los medios y servicios de la Administración digital, cabe destacar los siguientes impactos:</w:t>
      </w:r>
    </w:p>
    <w:p w14:paraId="45F7C2DA" w14:textId="77777777" w:rsidR="00A70719" w:rsidRPr="00A70719" w:rsidRDefault="00A70719" w:rsidP="00A70719">
      <w:pPr>
        <w:suppressAutoHyphens/>
        <w:spacing w:after="0"/>
        <w:jc w:val="both"/>
        <w:rPr>
          <w:rFonts w:eastAsia="Times New Roman"/>
          <w:szCs w:val="20"/>
        </w:rPr>
      </w:pPr>
    </w:p>
    <w:p w14:paraId="4CFB0674" w14:textId="3EE21D6B" w:rsidR="00A70719" w:rsidRDefault="00A70719" w:rsidP="00A70719">
      <w:pPr>
        <w:numPr>
          <w:ilvl w:val="0"/>
          <w:numId w:val="43"/>
        </w:numPr>
        <w:spacing w:after="0"/>
        <w:jc w:val="both"/>
        <w:rPr>
          <w:rFonts w:eastAsia="Times New Roman"/>
          <w:b/>
          <w:bCs/>
          <w:szCs w:val="20"/>
        </w:rPr>
      </w:pPr>
      <w:r w:rsidRPr="00A70719">
        <w:rPr>
          <w:rFonts w:eastAsia="Times New Roman"/>
          <w:b/>
          <w:bCs/>
          <w:szCs w:val="20"/>
        </w:rPr>
        <w:t xml:space="preserve">Impacto medioambiental: </w:t>
      </w:r>
      <w:r w:rsidRPr="00A70719">
        <w:rPr>
          <w:rFonts w:eastAsia="Times New Roman"/>
          <w:szCs w:val="20"/>
        </w:rPr>
        <w:t>el proyecto contribuye a los objetivos de sostenibilidad de la Unión Europea al fomentar procesos administrativos íntegramente digitales (</w:t>
      </w:r>
      <w:proofErr w:type="spellStart"/>
      <w:r w:rsidRPr="00A70719">
        <w:rPr>
          <w:rFonts w:eastAsia="Times New Roman"/>
          <w:szCs w:val="20"/>
        </w:rPr>
        <w:t>paper-less</w:t>
      </w:r>
      <w:proofErr w:type="spellEnd"/>
      <w:r w:rsidRPr="00A70719">
        <w:rPr>
          <w:rFonts w:eastAsia="Times New Roman"/>
          <w:szCs w:val="20"/>
        </w:rPr>
        <w:t>). La eliminación de la necesidad de soportes físicos para credenciales (como carnés de plástico o certificados en papel) y la reducción de desplazamientos de los ciudadanos a oficinas públicas suponen una disminución directa de la huella de carbono asociada al transporte y al consumo de materiales, alineándose con la iniciativa del Pacto Verde Europeo</w:t>
      </w:r>
      <w:r w:rsidR="00537DF1">
        <w:rPr>
          <w:rFonts w:eastAsia="Times New Roman"/>
          <w:szCs w:val="20"/>
        </w:rPr>
        <w:t>.</w:t>
      </w:r>
    </w:p>
    <w:p w14:paraId="2E15EE75" w14:textId="77777777" w:rsidR="00537DF1" w:rsidRPr="00A70719" w:rsidRDefault="00537DF1" w:rsidP="00537DF1">
      <w:pPr>
        <w:spacing w:after="0"/>
        <w:ind w:left="360"/>
        <w:jc w:val="both"/>
        <w:rPr>
          <w:rFonts w:eastAsia="Times New Roman"/>
          <w:b/>
          <w:bCs/>
          <w:szCs w:val="20"/>
        </w:rPr>
      </w:pPr>
    </w:p>
    <w:p w14:paraId="55336123" w14:textId="77777777" w:rsidR="00A70719" w:rsidRDefault="00A70719" w:rsidP="00A70719">
      <w:pPr>
        <w:numPr>
          <w:ilvl w:val="0"/>
          <w:numId w:val="43"/>
        </w:numPr>
        <w:spacing w:after="0"/>
        <w:jc w:val="both"/>
        <w:rPr>
          <w:rFonts w:eastAsia="Times New Roman"/>
          <w:szCs w:val="20"/>
        </w:rPr>
      </w:pPr>
      <w:r w:rsidRPr="00A70719">
        <w:rPr>
          <w:rFonts w:eastAsia="Times New Roman"/>
          <w:b/>
          <w:bCs/>
          <w:szCs w:val="20"/>
        </w:rPr>
        <w:t>Impacto social y soberanía digital:</w:t>
      </w:r>
      <w:r w:rsidRPr="00A70719">
        <w:rPr>
          <w:rFonts w:eastAsia="Times New Roman"/>
          <w:szCs w:val="20"/>
        </w:rPr>
        <w:t xml:space="preserve"> La Cartera actúa como un motor de inclusión digital. Al simplificar el acceso a servicios de salud, educación y seguridad social en toda la UE, se reducen las barreras para ciudadanos que viven en el extranjero o en entornos rurales. Además, refuerza la soberanía digital del ciudadano al devolverle el control exclusivo sobre sus datos, permitiendo transacciones seguras sin necesidad de intermediarios que rastreen su comportamiento.</w:t>
      </w:r>
    </w:p>
    <w:p w14:paraId="38E3FCC4" w14:textId="77777777" w:rsidR="00537DF1" w:rsidRPr="00A70719" w:rsidRDefault="00537DF1" w:rsidP="00537DF1">
      <w:pPr>
        <w:spacing w:after="0"/>
        <w:ind w:left="360"/>
        <w:jc w:val="both"/>
        <w:rPr>
          <w:rFonts w:eastAsia="Times New Roman"/>
          <w:szCs w:val="20"/>
        </w:rPr>
      </w:pPr>
    </w:p>
    <w:p w14:paraId="2F22631E" w14:textId="77777777" w:rsidR="00A70719" w:rsidRDefault="00A70719" w:rsidP="00A70719">
      <w:pPr>
        <w:numPr>
          <w:ilvl w:val="0"/>
          <w:numId w:val="43"/>
        </w:numPr>
        <w:spacing w:after="0"/>
        <w:jc w:val="both"/>
        <w:rPr>
          <w:rFonts w:eastAsia="Times New Roman"/>
          <w:szCs w:val="20"/>
        </w:rPr>
      </w:pPr>
      <w:r w:rsidRPr="00A70719">
        <w:rPr>
          <w:rFonts w:eastAsia="Times New Roman"/>
          <w:b/>
          <w:bCs/>
          <w:szCs w:val="20"/>
        </w:rPr>
        <w:t>Igualdad, no discriminación y accesibilidad universal:</w:t>
      </w:r>
      <w:r w:rsidRPr="00A70719">
        <w:rPr>
          <w:rFonts w:eastAsia="Times New Roman"/>
          <w:szCs w:val="20"/>
        </w:rPr>
        <w:t xml:space="preserve"> La norma tiene un impacto positivo y directo en las personas con discapacidad. De acuerdo con el artículo 5 bis.21 del Reglamento 2024/1183, la Cartera debe ser accesible en igualdad de condiciones conforme a la Directiva (UE) 2019/882. El real decreto garantiza que la identidad digital no sea una barrera, sino una ayuda, al integrar interfaces claras y comprensibles para personas mayores o con limitaciones funcionales.</w:t>
      </w:r>
    </w:p>
    <w:p w14:paraId="34B5CC89" w14:textId="77777777" w:rsidR="00537DF1" w:rsidRPr="00A70719" w:rsidRDefault="00537DF1" w:rsidP="00537DF1">
      <w:pPr>
        <w:spacing w:after="0"/>
        <w:ind w:left="360"/>
        <w:jc w:val="both"/>
        <w:rPr>
          <w:rFonts w:eastAsia="Times New Roman"/>
          <w:szCs w:val="20"/>
        </w:rPr>
      </w:pPr>
    </w:p>
    <w:p w14:paraId="43AE6D93" w14:textId="792A8F3F" w:rsidR="00A70719" w:rsidRPr="00513025" w:rsidRDefault="00A70719" w:rsidP="00515F17">
      <w:pPr>
        <w:numPr>
          <w:ilvl w:val="0"/>
          <w:numId w:val="43"/>
        </w:numPr>
        <w:spacing w:after="0"/>
        <w:ind w:firstLine="709"/>
        <w:jc w:val="both"/>
        <w:rPr>
          <w:rFonts w:eastAsia="Times New Roman"/>
          <w:szCs w:val="20"/>
        </w:rPr>
      </w:pPr>
      <w:r w:rsidRPr="00513025">
        <w:rPr>
          <w:rFonts w:eastAsia="Times New Roman"/>
          <w:b/>
          <w:bCs/>
          <w:szCs w:val="20"/>
        </w:rPr>
        <w:t>Protección a la infancia y a la adolescencia:</w:t>
      </w:r>
      <w:r w:rsidRPr="00513025">
        <w:rPr>
          <w:rFonts w:eastAsia="Times New Roman"/>
          <w:szCs w:val="20"/>
        </w:rPr>
        <w:t xml:space="preserve"> El impacto en este ámbito es significativo y preventivo. La implementación de la Cartera permite la divulgación selectiva de </w:t>
      </w:r>
      <w:r w:rsidRPr="00513025">
        <w:rPr>
          <w:rFonts w:eastAsia="Times New Roman"/>
          <w:szCs w:val="20"/>
        </w:rPr>
        <w:lastRenderedPageBreak/>
        <w:t>atributos, lo que significa que un menor puede demostrar su edad ante plataformas digitales sin necesidad de revelar su nombre, domicilio o fecha de nacimiento completa. Esto proporciona una herramienta técnica esencial para cumplir con la protección de los menores en Internet exigida por la LOPDGDD, garantizando un entorno digital más seguro y privado para los jóvenes.</w:t>
      </w:r>
    </w:p>
    <w:p w14:paraId="15AE8C14" w14:textId="77777777" w:rsidR="00A70719" w:rsidRPr="00A70719" w:rsidRDefault="00A70719" w:rsidP="00A70719">
      <w:pPr>
        <w:spacing w:after="0"/>
        <w:ind w:firstLine="709"/>
        <w:jc w:val="both"/>
        <w:rPr>
          <w:rFonts w:eastAsia="Calibri"/>
          <w:szCs w:val="20"/>
        </w:rPr>
      </w:pPr>
    </w:p>
    <w:p w14:paraId="64408F6A" w14:textId="77777777" w:rsidR="00A70719" w:rsidRPr="00A70719" w:rsidRDefault="00A70719" w:rsidP="00A70719">
      <w:pPr>
        <w:spacing w:after="0"/>
        <w:ind w:firstLine="709"/>
        <w:jc w:val="both"/>
        <w:rPr>
          <w:rFonts w:eastAsia="Times New Roman"/>
          <w:szCs w:val="20"/>
        </w:rPr>
      </w:pPr>
    </w:p>
    <w:p w14:paraId="0AB81589" w14:textId="5CD8D990" w:rsidR="00074092" w:rsidRPr="00074092" w:rsidRDefault="00074092" w:rsidP="00074092">
      <w:pPr>
        <w:keepNext/>
        <w:widowControl w:val="0"/>
        <w:suppressAutoHyphens/>
        <w:spacing w:after="0"/>
        <w:ind w:left="709" w:right="341"/>
        <w:jc w:val="center"/>
        <w:outlineLvl w:val="0"/>
        <w:rPr>
          <w:rFonts w:eastAsia="Times New Roman"/>
          <w:b/>
        </w:rPr>
      </w:pPr>
    </w:p>
    <w:sectPr w:rsidR="00074092" w:rsidRPr="00074092" w:rsidSect="005B4E99">
      <w:headerReference w:type="even" r:id="rId10"/>
      <w:headerReference w:type="default" r:id="rId11"/>
      <w:footerReference w:type="even" r:id="rId12"/>
      <w:footerReference w:type="default" r:id="rId13"/>
      <w:headerReference w:type="first" r:id="rId14"/>
      <w:footerReference w:type="first" r:id="rId15"/>
      <w:pgSz w:w="11906" w:h="16838"/>
      <w:pgMar w:top="2127" w:right="992" w:bottom="1134" w:left="1077" w:header="426"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4B76" w14:textId="77777777" w:rsidR="00635E06" w:rsidRDefault="00635E06">
      <w:pPr>
        <w:spacing w:after="0" w:line="240" w:lineRule="auto"/>
      </w:pPr>
      <w:r>
        <w:separator/>
      </w:r>
    </w:p>
  </w:endnote>
  <w:endnote w:type="continuationSeparator" w:id="0">
    <w:p w14:paraId="12A1E240" w14:textId="77777777" w:rsidR="00635E06" w:rsidRDefault="00635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egrit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fuentemap">
    <w:altName w:val="Symbol"/>
    <w:charset w:val="02"/>
    <w:family w:val="roman"/>
    <w:pitch w:val="variable"/>
    <w:sig w:usb0="00000000" w:usb1="10000000" w:usb2="00000000" w:usb3="00000000" w:csb0="80000000" w:csb1="00000000"/>
  </w:font>
  <w:font w:name="Gill Sans MT">
    <w:altName w:val="Calibri"/>
    <w:charset w:val="00"/>
    <w:family w:val="swiss"/>
    <w:pitch w:val="variable"/>
    <w:sig w:usb0="00000003" w:usb1="00000000" w:usb2="00000000" w:usb3="00000000" w:csb0="00000003" w:csb1="00000000"/>
  </w:font>
  <w:font w:name="Gill Sans Std">
    <w:altName w:val="Calibri"/>
    <w:panose1 w:val="00000000000000000000"/>
    <w:charset w:val="00"/>
    <w:family w:val="swiss"/>
    <w:notTrueType/>
    <w:pitch w:val="variable"/>
    <w:sig w:usb0="800000AF" w:usb1="4000204A"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C6963" w14:textId="77777777" w:rsidR="007C6841" w:rsidRDefault="007C684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FB1C5" w14:textId="0625D653" w:rsidR="00A26B25" w:rsidRDefault="008C6187">
    <w:pPr>
      <w:pBdr>
        <w:top w:val="nil"/>
        <w:left w:val="nil"/>
        <w:bottom w:val="nil"/>
        <w:right w:val="nil"/>
        <w:between w:val="nil"/>
      </w:pBdr>
      <w:tabs>
        <w:tab w:val="center" w:pos="4252"/>
        <w:tab w:val="right" w:pos="8504"/>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405DF">
      <w:rPr>
        <w:noProof/>
        <w:color w:val="000000"/>
      </w:rPr>
      <w:t>1</w:t>
    </w:r>
    <w:r>
      <w:rPr>
        <w:color w:val="000000"/>
      </w:rPr>
      <w:fldChar w:fldCharType="end"/>
    </w:r>
  </w:p>
  <w:p w14:paraId="13B3940F" w14:textId="77777777" w:rsidR="00A26B25" w:rsidRDefault="00A26B25">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216B2" w14:textId="77777777" w:rsidR="007C6841" w:rsidRDefault="007C684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EFC86" w14:textId="77777777" w:rsidR="00635E06" w:rsidRDefault="00635E06">
      <w:pPr>
        <w:spacing w:after="0" w:line="240" w:lineRule="auto"/>
      </w:pPr>
      <w:r>
        <w:separator/>
      </w:r>
    </w:p>
  </w:footnote>
  <w:footnote w:type="continuationSeparator" w:id="0">
    <w:p w14:paraId="0A5C25B5" w14:textId="77777777" w:rsidR="00635E06" w:rsidRDefault="00635E06">
      <w:pPr>
        <w:spacing w:after="0" w:line="240" w:lineRule="auto"/>
      </w:pPr>
      <w:r>
        <w:continuationSeparator/>
      </w:r>
    </w:p>
  </w:footnote>
  <w:footnote w:id="1">
    <w:p w14:paraId="64AFFD0F" w14:textId="77777777" w:rsidR="00A70719" w:rsidRPr="006E3D1A" w:rsidRDefault="00A70719" w:rsidP="00A70719">
      <w:pPr>
        <w:pStyle w:val="Textonotapie"/>
        <w:rPr>
          <w:sz w:val="18"/>
          <w:szCs w:val="18"/>
          <w:lang w:val="en-US"/>
        </w:rPr>
      </w:pPr>
      <w:r>
        <w:rPr>
          <w:rStyle w:val="Refdenotaalpie"/>
        </w:rPr>
        <w:footnoteRef/>
      </w:r>
      <w:r w:rsidRPr="00D618D8">
        <w:rPr>
          <w:lang w:val="en-US"/>
        </w:rPr>
        <w:t xml:space="preserve"> </w:t>
      </w:r>
      <w:r w:rsidRPr="006E3D1A">
        <w:rPr>
          <w:sz w:val="18"/>
          <w:szCs w:val="18"/>
          <w:lang w:val="en-US"/>
        </w:rPr>
        <w:t>Referencia de los datos: Commission Staff Working Documento Impact Assessment Report - https://eur-lex.europa.eu/legal-content/EN/ALL/?uri=SWD:2021:124:FIN</w:t>
      </w:r>
    </w:p>
  </w:footnote>
  <w:footnote w:id="2">
    <w:p w14:paraId="4E8C1A31" w14:textId="77777777" w:rsidR="00A70719" w:rsidRPr="00D618D8" w:rsidRDefault="00A70719" w:rsidP="00A70719">
      <w:pPr>
        <w:pStyle w:val="Textonotapie"/>
        <w:rPr>
          <w:lang w:val="en-US"/>
        </w:rPr>
      </w:pPr>
      <w:r w:rsidRPr="006E3D1A">
        <w:rPr>
          <w:rStyle w:val="Refdenotaalpie"/>
          <w:sz w:val="18"/>
          <w:szCs w:val="18"/>
        </w:rPr>
        <w:footnoteRef/>
      </w:r>
      <w:r w:rsidRPr="006E3D1A">
        <w:rPr>
          <w:sz w:val="18"/>
          <w:szCs w:val="18"/>
          <w:lang w:val="en-US"/>
        </w:rPr>
        <w:t xml:space="preserve"> Referencia de los datos: Commission Staff Working Documento Impact Assessment Report - https://eur-lex.europa.eu/legal-content/EN/ALL/?uri=SWD:2021:124:FIN</w:t>
      </w:r>
    </w:p>
  </w:footnote>
  <w:footnote w:id="3">
    <w:p w14:paraId="3EED3368" w14:textId="67F03614" w:rsidR="006E36E7" w:rsidRPr="00222CB8" w:rsidRDefault="006E36E7">
      <w:pPr>
        <w:pStyle w:val="Textonotapie"/>
      </w:pPr>
      <w:r>
        <w:rPr>
          <w:rStyle w:val="Refdenotaalpie"/>
        </w:rPr>
        <w:footnoteRef/>
      </w:r>
      <w:r>
        <w:t xml:space="preserve"> </w:t>
      </w:r>
      <w:r w:rsidRPr="00222CB8">
        <w:t>Conocida comúnmente por sus siglas en inglés como “EUDI Wallet” o “EUDIW”</w:t>
      </w:r>
    </w:p>
  </w:footnote>
  <w:footnote w:id="4">
    <w:p w14:paraId="0CB9BC59" w14:textId="58435B9E" w:rsidR="006E36E7" w:rsidRDefault="006E36E7">
      <w:pPr>
        <w:pStyle w:val="Textonotapie"/>
      </w:pPr>
      <w:r w:rsidRPr="00222CB8">
        <w:rPr>
          <w:rStyle w:val="Refdenotaalpie"/>
        </w:rPr>
        <w:footnoteRef/>
      </w:r>
      <w:r w:rsidRPr="00222CB8">
        <w:t xml:space="preserve"> Reglamento (UE) 2022/2065 del Parlamento Europeo y del Consejo de 19 de octubre de 2022 relativo a un mercado único de servicios digitales y por el que se modifica la Directiva 2000/31/CE</w:t>
      </w:r>
    </w:p>
  </w:footnote>
  <w:footnote w:id="5">
    <w:p w14:paraId="51734868" w14:textId="4FC6FFBE" w:rsidR="006E36E7" w:rsidRDefault="006E36E7" w:rsidP="006E36E7">
      <w:pPr>
        <w:pStyle w:val="Textonotapie"/>
        <w:jc w:val="both"/>
      </w:pPr>
      <w:r w:rsidRPr="00222CB8">
        <w:rPr>
          <w:rStyle w:val="Refdenotaalpie"/>
        </w:rPr>
        <w:footnoteRef/>
      </w:r>
      <w:r w:rsidRPr="00222CB8">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w:t>
      </w:r>
    </w:p>
  </w:footnote>
  <w:footnote w:id="6">
    <w:p w14:paraId="6FD5994C" w14:textId="77777777" w:rsidR="00A70719" w:rsidRPr="00D618D8" w:rsidRDefault="00A70719" w:rsidP="00A70719">
      <w:pPr>
        <w:pStyle w:val="Textonotapie"/>
      </w:pPr>
      <w:r>
        <w:rPr>
          <w:rStyle w:val="Refdenotaalpie"/>
        </w:rPr>
        <w:footnoteRef/>
      </w:r>
      <w:r>
        <w:t xml:space="preserve"> </w:t>
      </w:r>
      <w:r w:rsidRPr="00FB3647">
        <w:rPr>
          <w:sz w:val="16"/>
          <w:szCs w:val="16"/>
        </w:rPr>
        <w:t>Referencia: https://portal.mineco.gob.es/RecursosArticulo/mineco/economia/ficheros/guia_metodologica_ain.pdf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E78C1" w14:textId="675BAA94" w:rsidR="007C6841" w:rsidRDefault="007C6841">
    <w:pPr>
      <w:pStyle w:val="Encabezado"/>
    </w:pPr>
    <w:r>
      <w:rPr>
        <w:noProof/>
      </w:rPr>
      <w:pict w14:anchorId="4017AD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235063" o:spid="_x0000_s1026" type="#_x0000_t136" style="position:absolute;margin-left:0;margin-top:0;width:577.85pt;height:115.55pt;rotation:315;z-index:-251654144;mso-position-horizontal:center;mso-position-horizontal-relative:margin;mso-position-vertical:center;mso-position-vertical-relative:margin" o:allowincell="f" fillcolor="silver" stroked="f">
          <v:fill opacity=".5"/>
          <v:textpath style="font-family:&quot;Arial&quot;;font-size:1pt" string="BORRADOR"/>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459" w:type="dxa"/>
      <w:tblLayout w:type="fixed"/>
      <w:tblLook w:val="00A0" w:firstRow="1" w:lastRow="0" w:firstColumn="1" w:lastColumn="0" w:noHBand="0" w:noVBand="0"/>
    </w:tblPr>
    <w:tblGrid>
      <w:gridCol w:w="1560"/>
      <w:gridCol w:w="5811"/>
      <w:gridCol w:w="2694"/>
    </w:tblGrid>
    <w:tr w:rsidR="00F51ADA" w:rsidRPr="00CB2351" w14:paraId="06F4EDFC" w14:textId="77777777" w:rsidTr="00917857">
      <w:trPr>
        <w:trHeight w:val="83"/>
      </w:trPr>
      <w:tc>
        <w:tcPr>
          <w:tcW w:w="1560" w:type="dxa"/>
          <w:vMerge w:val="restart"/>
          <w:noWrap/>
        </w:tcPr>
        <w:p w14:paraId="7E7D3C21" w14:textId="77777777" w:rsidR="00F51ADA" w:rsidRPr="00D60344" w:rsidRDefault="00F51ADA" w:rsidP="00F51ADA">
          <w:pPr>
            <w:tabs>
              <w:tab w:val="center" w:pos="4252"/>
            </w:tabs>
            <w:spacing w:after="120" w:line="240" w:lineRule="auto"/>
            <w:ind w:left="-533"/>
            <w:jc w:val="right"/>
            <w:rPr>
              <w:rFonts w:eastAsia="Times New Roman" w:cs="Times New Roman"/>
              <w:lang w:val="es-ES_tradnl"/>
            </w:rPr>
          </w:pPr>
          <w:r>
            <w:rPr>
              <w:rFonts w:ascii="Symbolfuentemap" w:hAnsi="Symbolfuentemap"/>
              <w:noProof/>
              <w:position w:val="12"/>
              <w:sz w:val="40"/>
            </w:rPr>
            <w:drawing>
              <wp:anchor distT="0" distB="0" distL="114300" distR="114300" simplePos="0" relativeHeight="251658240" behindDoc="0" locked="0" layoutInCell="1" allowOverlap="1" wp14:anchorId="37593E10" wp14:editId="75AEBBFC">
                <wp:simplePos x="0" y="0"/>
                <wp:positionH relativeFrom="column">
                  <wp:posOffset>74930</wp:posOffset>
                </wp:positionH>
                <wp:positionV relativeFrom="paragraph">
                  <wp:posOffset>7620</wp:posOffset>
                </wp:positionV>
                <wp:extent cx="781050" cy="818601"/>
                <wp:effectExtent l="0" t="0" r="0" b="635"/>
                <wp:wrapNone/>
                <wp:docPr id="1635676315" name="Imagen 6" descr="Imagen que contiene dibuj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6" descr="Imagen que contiene dibujo, tabla&#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818601"/>
                        </a:xfrm>
                        <a:prstGeom prst="rect">
                          <a:avLst/>
                        </a:prstGeom>
                        <a:noFill/>
                      </pic:spPr>
                    </pic:pic>
                  </a:graphicData>
                </a:graphic>
                <wp14:sizeRelH relativeFrom="margin">
                  <wp14:pctWidth>0</wp14:pctWidth>
                </wp14:sizeRelH>
                <wp14:sizeRelV relativeFrom="margin">
                  <wp14:pctHeight>0</wp14:pctHeight>
                </wp14:sizeRelV>
              </wp:anchor>
            </w:drawing>
          </w:r>
        </w:p>
      </w:tc>
      <w:tc>
        <w:tcPr>
          <w:tcW w:w="5811" w:type="dxa"/>
          <w:vMerge w:val="restart"/>
          <w:noWrap/>
          <w:tcMar>
            <w:top w:w="57" w:type="dxa"/>
          </w:tcMar>
        </w:tcPr>
        <w:p w14:paraId="2578B92C" w14:textId="77777777" w:rsidR="00F51ADA" w:rsidRPr="00912979" w:rsidRDefault="00F51ADA" w:rsidP="00F51ADA">
          <w:pPr>
            <w:spacing w:before="400" w:after="0" w:line="240" w:lineRule="auto"/>
            <w:rPr>
              <w:rFonts w:ascii="Gill Sans MT" w:eastAsia="Times New Roman" w:hAnsi="Gill Sans MT" w:cs="Times New Roman"/>
              <w:sz w:val="18"/>
              <w:szCs w:val="24"/>
            </w:rPr>
          </w:pPr>
          <w:r w:rsidRPr="00912979">
            <w:rPr>
              <w:rFonts w:ascii="Gill Sans MT" w:eastAsia="Times New Roman" w:hAnsi="Gill Sans MT" w:cs="Times New Roman"/>
              <w:sz w:val="18"/>
              <w:szCs w:val="24"/>
            </w:rPr>
            <w:t>MINISTERIO</w:t>
          </w:r>
        </w:p>
        <w:p w14:paraId="23649824" w14:textId="77777777" w:rsidR="00F51ADA" w:rsidRPr="00912979" w:rsidRDefault="00F51ADA" w:rsidP="00F51ADA">
          <w:pPr>
            <w:spacing w:after="0" w:line="240" w:lineRule="auto"/>
            <w:rPr>
              <w:rFonts w:ascii="Gill Sans MT" w:eastAsia="Times New Roman" w:hAnsi="Gill Sans MT" w:cs="Times New Roman"/>
              <w:sz w:val="18"/>
              <w:szCs w:val="24"/>
            </w:rPr>
          </w:pPr>
          <w:r w:rsidRPr="00912979">
            <w:rPr>
              <w:rFonts w:ascii="Gill Sans MT" w:eastAsia="Times New Roman" w:hAnsi="Gill Sans MT" w:cs="Times New Roman"/>
              <w:sz w:val="18"/>
              <w:szCs w:val="24"/>
            </w:rPr>
            <w:t>PARA LA TRANSFORMACIÓN DIGITAL</w:t>
          </w:r>
        </w:p>
        <w:p w14:paraId="652D57AC" w14:textId="77777777" w:rsidR="00F51ADA" w:rsidRPr="00D60344" w:rsidRDefault="00F51ADA" w:rsidP="00F51ADA">
          <w:pPr>
            <w:spacing w:after="0" w:line="240" w:lineRule="auto"/>
            <w:rPr>
              <w:rFonts w:ascii="Gill Sans Std" w:eastAsia="Times New Roman" w:hAnsi="Gill Sans Std" w:cs="Times New Roman"/>
              <w:sz w:val="18"/>
              <w:szCs w:val="24"/>
            </w:rPr>
          </w:pPr>
          <w:r w:rsidRPr="00912979">
            <w:rPr>
              <w:rFonts w:ascii="Gill Sans MT" w:eastAsia="Times New Roman" w:hAnsi="Gill Sans MT" w:cs="Times New Roman"/>
              <w:sz w:val="18"/>
              <w:szCs w:val="24"/>
            </w:rPr>
            <w:t>Y DE LA FUNCIÓN PÚBLICA</w:t>
          </w:r>
        </w:p>
      </w:tc>
      <w:tc>
        <w:tcPr>
          <w:tcW w:w="2694" w:type="dxa"/>
          <w:noWrap/>
          <w:vAlign w:val="center"/>
        </w:tcPr>
        <w:p w14:paraId="17893CFA" w14:textId="77777777" w:rsidR="00F51ADA" w:rsidRPr="00ED6CD2" w:rsidRDefault="00F51ADA" w:rsidP="00F51ADA">
          <w:pPr>
            <w:spacing w:after="0" w:line="240" w:lineRule="auto"/>
            <w:jc w:val="both"/>
            <w:rPr>
              <w:rFonts w:ascii="Gill Sans MT" w:eastAsia="Times New Roman" w:hAnsi="Gill Sans MT" w:cs="Times New Roman"/>
              <w:sz w:val="14"/>
              <w:szCs w:val="14"/>
            </w:rPr>
          </w:pPr>
        </w:p>
      </w:tc>
    </w:tr>
    <w:tr w:rsidR="00F51ADA" w:rsidRPr="00D60344" w14:paraId="59734CE1" w14:textId="77777777" w:rsidTr="00917857">
      <w:trPr>
        <w:trHeight w:val="772"/>
      </w:trPr>
      <w:tc>
        <w:tcPr>
          <w:tcW w:w="1560" w:type="dxa"/>
          <w:vMerge/>
          <w:noWrap/>
        </w:tcPr>
        <w:p w14:paraId="5EE19AAE" w14:textId="77777777" w:rsidR="00F51ADA" w:rsidRPr="00D60344" w:rsidRDefault="00F51ADA" w:rsidP="00F51ADA">
          <w:pPr>
            <w:tabs>
              <w:tab w:val="center" w:pos="4252"/>
              <w:tab w:val="right" w:pos="8504"/>
            </w:tabs>
            <w:spacing w:after="120" w:line="240" w:lineRule="auto"/>
            <w:jc w:val="center"/>
            <w:rPr>
              <w:rFonts w:eastAsia="Times New Roman" w:cs="Times New Roman"/>
              <w:noProof/>
              <w:lang w:val="es-ES_tradnl"/>
            </w:rPr>
          </w:pPr>
        </w:p>
      </w:tc>
      <w:tc>
        <w:tcPr>
          <w:tcW w:w="5811" w:type="dxa"/>
          <w:vMerge/>
          <w:noWrap/>
        </w:tcPr>
        <w:p w14:paraId="0FF7E4AC" w14:textId="77777777" w:rsidR="00F51ADA" w:rsidRPr="00D60344" w:rsidRDefault="00F51ADA" w:rsidP="00F51ADA">
          <w:pPr>
            <w:rPr>
              <w:rFonts w:eastAsia="Times New Roman" w:cs="Times New Roman"/>
              <w:lang w:val="es-ES_tradnl"/>
            </w:rPr>
          </w:pPr>
        </w:p>
      </w:tc>
      <w:tc>
        <w:tcPr>
          <w:tcW w:w="2694" w:type="dxa"/>
          <w:noWrap/>
          <w:tcMar>
            <w:top w:w="113" w:type="dxa"/>
          </w:tcMar>
        </w:tcPr>
        <w:p w14:paraId="340C5DB2" w14:textId="56307449" w:rsidR="00F51ADA" w:rsidRPr="00503635" w:rsidRDefault="00F51ADA" w:rsidP="00F51ADA">
          <w:pPr>
            <w:spacing w:after="0" w:line="240" w:lineRule="auto"/>
            <w:rPr>
              <w:rFonts w:ascii="Gill Sans MT" w:eastAsia="Times New Roman" w:hAnsi="Gill Sans MT" w:cs="Times New Roman"/>
              <w:sz w:val="14"/>
              <w:lang w:val="es-ES_tradnl"/>
            </w:rPr>
          </w:pPr>
        </w:p>
      </w:tc>
    </w:tr>
  </w:tbl>
  <w:p w14:paraId="7F19B9DA" w14:textId="33A5F5B1" w:rsidR="00A26B25" w:rsidRDefault="007C6841" w:rsidP="00D26893">
    <w:pPr>
      <w:tabs>
        <w:tab w:val="center" w:pos="4252"/>
        <w:tab w:val="right" w:pos="8504"/>
      </w:tabs>
      <w:spacing w:after="0" w:line="240" w:lineRule="auto"/>
    </w:pPr>
    <w:r>
      <w:rPr>
        <w:noProof/>
      </w:rPr>
      <w:pict w14:anchorId="129D32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235064" o:spid="_x0000_s1027" type="#_x0000_t136" style="position:absolute;margin-left:0;margin-top:0;width:577.85pt;height:115.55pt;rotation:315;z-index:-251652096;mso-position-horizontal:center;mso-position-horizontal-relative:margin;mso-position-vertical:center;mso-position-vertical-relative:margin" o:allowincell="f" fillcolor="silver" stroked="f">
          <v:fill opacity=".5"/>
          <v:textpath style="font-family:&quot;Arial&quot;;font-size:1pt" string="BORRADOR"/>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2501C" w14:textId="768A93FC" w:rsidR="007C6841" w:rsidRDefault="007C6841">
    <w:pPr>
      <w:pStyle w:val="Encabezado"/>
    </w:pPr>
    <w:r>
      <w:rPr>
        <w:noProof/>
      </w:rPr>
      <w:pict w14:anchorId="660F5D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6235062" o:spid="_x0000_s1025" type="#_x0000_t136" style="position:absolute;margin-left:0;margin-top:0;width:577.85pt;height:115.55pt;rotation:315;z-index:-251656192;mso-position-horizontal:center;mso-position-horizontal-relative:margin;mso-position-vertical:center;mso-position-vertical-relative:margin" o:allowincell="f" fillcolor="silver" stroked="f">
          <v:fill opacity=".5"/>
          <v:textpath style="font-family:&quot;Arial&quot;;font-size:1pt" string="BORRADO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7A6"/>
    <w:multiLevelType w:val="hybridMultilevel"/>
    <w:tmpl w:val="611CDB4C"/>
    <w:lvl w:ilvl="0" w:tplc="889AF130">
      <w:start w:val="1"/>
      <w:numFmt w:val="upperLetter"/>
      <w:lvlText w:val="%1)"/>
      <w:lvlJc w:val="left"/>
      <w:pPr>
        <w:ind w:left="360" w:hanging="360"/>
      </w:pPr>
      <w:rPr>
        <w:rFonts w:hint="default"/>
        <w:b/>
        <w:bCs/>
      </w:rPr>
    </w:lvl>
    <w:lvl w:ilvl="1" w:tplc="52224F86">
      <w:start w:val="1"/>
      <w:numFmt w:val="upperLetter"/>
      <w:lvlText w:val="%2)"/>
      <w:lvlJc w:val="left"/>
      <w:pPr>
        <w:ind w:left="1080" w:hanging="360"/>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1ED1550"/>
    <w:multiLevelType w:val="hybridMultilevel"/>
    <w:tmpl w:val="356CC576"/>
    <w:lvl w:ilvl="0" w:tplc="0C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C76C8B"/>
    <w:multiLevelType w:val="hybridMultilevel"/>
    <w:tmpl w:val="041887E2"/>
    <w:lvl w:ilvl="0" w:tplc="0C0A0017">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67021E3"/>
    <w:multiLevelType w:val="multilevel"/>
    <w:tmpl w:val="8DA80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35BD2"/>
    <w:multiLevelType w:val="hybridMultilevel"/>
    <w:tmpl w:val="8DAEDDA8"/>
    <w:lvl w:ilvl="0" w:tplc="0C0A0011">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11EB0542"/>
    <w:multiLevelType w:val="hybridMultilevel"/>
    <w:tmpl w:val="C7B2A7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BB48D5"/>
    <w:multiLevelType w:val="multilevel"/>
    <w:tmpl w:val="C7E4F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F32482"/>
    <w:multiLevelType w:val="hybridMultilevel"/>
    <w:tmpl w:val="B99889A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BE350D"/>
    <w:multiLevelType w:val="hybridMultilevel"/>
    <w:tmpl w:val="E4F2DC52"/>
    <w:lvl w:ilvl="0" w:tplc="541057FE">
      <w:start w:val="1"/>
      <w:numFmt w:val="upp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9" w15:restartNumberingAfterBreak="0">
    <w:nsid w:val="1C3974AE"/>
    <w:multiLevelType w:val="hybridMultilevel"/>
    <w:tmpl w:val="2AA6AA6C"/>
    <w:lvl w:ilvl="0" w:tplc="69903588">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1CB22145"/>
    <w:multiLevelType w:val="hybridMultilevel"/>
    <w:tmpl w:val="6F2C5138"/>
    <w:lvl w:ilvl="0" w:tplc="29FAC9D6">
      <w:start w:val="1"/>
      <w:numFmt w:val="bullet"/>
      <w:lvlText w:val="-"/>
      <w:lvlJc w:val="left"/>
      <w:pPr>
        <w:ind w:left="1080" w:hanging="360"/>
      </w:pPr>
      <w:rPr>
        <w:rFonts w:ascii="Aptos" w:hAnsi="Aptos" w:hint="default"/>
      </w:rPr>
    </w:lvl>
    <w:lvl w:ilvl="1" w:tplc="8C922B34">
      <w:start w:val="1"/>
      <w:numFmt w:val="bullet"/>
      <w:lvlText w:val="o"/>
      <w:lvlJc w:val="left"/>
      <w:pPr>
        <w:ind w:left="1800" w:hanging="360"/>
      </w:pPr>
      <w:rPr>
        <w:rFonts w:ascii="Courier New" w:hAnsi="Courier New" w:hint="default"/>
      </w:rPr>
    </w:lvl>
    <w:lvl w:ilvl="2" w:tplc="C8DE7EE0">
      <w:start w:val="1"/>
      <w:numFmt w:val="bullet"/>
      <w:lvlText w:val=""/>
      <w:lvlJc w:val="left"/>
      <w:pPr>
        <w:ind w:left="2520" w:hanging="360"/>
      </w:pPr>
      <w:rPr>
        <w:rFonts w:ascii="Wingdings" w:hAnsi="Wingdings" w:hint="default"/>
      </w:rPr>
    </w:lvl>
    <w:lvl w:ilvl="3" w:tplc="DACC4212">
      <w:start w:val="1"/>
      <w:numFmt w:val="bullet"/>
      <w:lvlText w:val=""/>
      <w:lvlJc w:val="left"/>
      <w:pPr>
        <w:ind w:left="3240" w:hanging="360"/>
      </w:pPr>
      <w:rPr>
        <w:rFonts w:ascii="Symbol" w:hAnsi="Symbol" w:hint="default"/>
      </w:rPr>
    </w:lvl>
    <w:lvl w:ilvl="4" w:tplc="04D4B352">
      <w:start w:val="1"/>
      <w:numFmt w:val="bullet"/>
      <w:lvlText w:val="o"/>
      <w:lvlJc w:val="left"/>
      <w:pPr>
        <w:ind w:left="3960" w:hanging="360"/>
      </w:pPr>
      <w:rPr>
        <w:rFonts w:ascii="Courier New" w:hAnsi="Courier New" w:hint="default"/>
      </w:rPr>
    </w:lvl>
    <w:lvl w:ilvl="5" w:tplc="F03824EA">
      <w:start w:val="1"/>
      <w:numFmt w:val="bullet"/>
      <w:lvlText w:val=""/>
      <w:lvlJc w:val="left"/>
      <w:pPr>
        <w:ind w:left="4680" w:hanging="360"/>
      </w:pPr>
      <w:rPr>
        <w:rFonts w:ascii="Wingdings" w:hAnsi="Wingdings" w:hint="default"/>
      </w:rPr>
    </w:lvl>
    <w:lvl w:ilvl="6" w:tplc="986040EA">
      <w:start w:val="1"/>
      <w:numFmt w:val="bullet"/>
      <w:lvlText w:val=""/>
      <w:lvlJc w:val="left"/>
      <w:pPr>
        <w:ind w:left="5400" w:hanging="360"/>
      </w:pPr>
      <w:rPr>
        <w:rFonts w:ascii="Symbol" w:hAnsi="Symbol" w:hint="default"/>
      </w:rPr>
    </w:lvl>
    <w:lvl w:ilvl="7" w:tplc="B4547668">
      <w:start w:val="1"/>
      <w:numFmt w:val="bullet"/>
      <w:lvlText w:val="o"/>
      <w:lvlJc w:val="left"/>
      <w:pPr>
        <w:ind w:left="6120" w:hanging="360"/>
      </w:pPr>
      <w:rPr>
        <w:rFonts w:ascii="Courier New" w:hAnsi="Courier New" w:hint="default"/>
      </w:rPr>
    </w:lvl>
    <w:lvl w:ilvl="8" w:tplc="CEDA3146">
      <w:start w:val="1"/>
      <w:numFmt w:val="bullet"/>
      <w:lvlText w:val=""/>
      <w:lvlJc w:val="left"/>
      <w:pPr>
        <w:ind w:left="6840" w:hanging="360"/>
      </w:pPr>
      <w:rPr>
        <w:rFonts w:ascii="Wingdings" w:hAnsi="Wingdings" w:hint="default"/>
      </w:rPr>
    </w:lvl>
  </w:abstractNum>
  <w:abstractNum w:abstractNumId="11" w15:restartNumberingAfterBreak="0">
    <w:nsid w:val="1DA03269"/>
    <w:multiLevelType w:val="multilevel"/>
    <w:tmpl w:val="8ADCB52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1E223D1"/>
    <w:multiLevelType w:val="multilevel"/>
    <w:tmpl w:val="02EC6332"/>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2530622"/>
    <w:multiLevelType w:val="hybridMultilevel"/>
    <w:tmpl w:val="041887E2"/>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230B1049"/>
    <w:multiLevelType w:val="hybridMultilevel"/>
    <w:tmpl w:val="EBAA9F1A"/>
    <w:lvl w:ilvl="0" w:tplc="11C87788">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4F512BE"/>
    <w:multiLevelType w:val="hybridMultilevel"/>
    <w:tmpl w:val="872AC8E0"/>
    <w:lvl w:ilvl="0" w:tplc="0C0A0011">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6" w15:restartNumberingAfterBreak="0">
    <w:nsid w:val="263D256F"/>
    <w:multiLevelType w:val="hybridMultilevel"/>
    <w:tmpl w:val="361AF24A"/>
    <w:lvl w:ilvl="0" w:tplc="541057FE">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2FB15760"/>
    <w:multiLevelType w:val="hybridMultilevel"/>
    <w:tmpl w:val="072A1314"/>
    <w:lvl w:ilvl="0" w:tplc="FFFFFFFF">
      <w:start w:val="1"/>
      <w:numFmt w:val="ordin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306A7EF5"/>
    <w:multiLevelType w:val="multilevel"/>
    <w:tmpl w:val="8AB0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0A570D"/>
    <w:multiLevelType w:val="hybridMultilevel"/>
    <w:tmpl w:val="814EF8D6"/>
    <w:lvl w:ilvl="0" w:tplc="DB72297C">
      <w:start w:val="1"/>
      <w:numFmt w:val="bullet"/>
      <w:lvlText w:val="-"/>
      <w:lvlJc w:val="left"/>
      <w:pPr>
        <w:ind w:left="1080" w:hanging="360"/>
      </w:pPr>
      <w:rPr>
        <w:rFonts w:ascii="Aptos" w:hAnsi="Aptos" w:hint="default"/>
      </w:rPr>
    </w:lvl>
    <w:lvl w:ilvl="1" w:tplc="CC209A3C">
      <w:start w:val="1"/>
      <w:numFmt w:val="bullet"/>
      <w:lvlText w:val="o"/>
      <w:lvlJc w:val="left"/>
      <w:pPr>
        <w:ind w:left="1800" w:hanging="360"/>
      </w:pPr>
      <w:rPr>
        <w:rFonts w:ascii="Courier New" w:hAnsi="Courier New" w:hint="default"/>
      </w:rPr>
    </w:lvl>
    <w:lvl w:ilvl="2" w:tplc="9AB6B500">
      <w:start w:val="1"/>
      <w:numFmt w:val="bullet"/>
      <w:lvlText w:val=""/>
      <w:lvlJc w:val="left"/>
      <w:pPr>
        <w:ind w:left="2520" w:hanging="360"/>
      </w:pPr>
      <w:rPr>
        <w:rFonts w:ascii="Wingdings" w:hAnsi="Wingdings" w:hint="default"/>
      </w:rPr>
    </w:lvl>
    <w:lvl w:ilvl="3" w:tplc="524810C4">
      <w:start w:val="1"/>
      <w:numFmt w:val="bullet"/>
      <w:lvlText w:val=""/>
      <w:lvlJc w:val="left"/>
      <w:pPr>
        <w:ind w:left="3240" w:hanging="360"/>
      </w:pPr>
      <w:rPr>
        <w:rFonts w:ascii="Symbol" w:hAnsi="Symbol" w:hint="default"/>
      </w:rPr>
    </w:lvl>
    <w:lvl w:ilvl="4" w:tplc="AD0E9C7C">
      <w:start w:val="1"/>
      <w:numFmt w:val="bullet"/>
      <w:lvlText w:val="o"/>
      <w:lvlJc w:val="left"/>
      <w:pPr>
        <w:ind w:left="3960" w:hanging="360"/>
      </w:pPr>
      <w:rPr>
        <w:rFonts w:ascii="Courier New" w:hAnsi="Courier New" w:hint="default"/>
      </w:rPr>
    </w:lvl>
    <w:lvl w:ilvl="5" w:tplc="D3A2A984">
      <w:start w:val="1"/>
      <w:numFmt w:val="bullet"/>
      <w:lvlText w:val=""/>
      <w:lvlJc w:val="left"/>
      <w:pPr>
        <w:ind w:left="4680" w:hanging="360"/>
      </w:pPr>
      <w:rPr>
        <w:rFonts w:ascii="Wingdings" w:hAnsi="Wingdings" w:hint="default"/>
      </w:rPr>
    </w:lvl>
    <w:lvl w:ilvl="6" w:tplc="9E906C80">
      <w:start w:val="1"/>
      <w:numFmt w:val="bullet"/>
      <w:lvlText w:val=""/>
      <w:lvlJc w:val="left"/>
      <w:pPr>
        <w:ind w:left="5400" w:hanging="360"/>
      </w:pPr>
      <w:rPr>
        <w:rFonts w:ascii="Symbol" w:hAnsi="Symbol" w:hint="default"/>
      </w:rPr>
    </w:lvl>
    <w:lvl w:ilvl="7" w:tplc="CF00A78C">
      <w:start w:val="1"/>
      <w:numFmt w:val="bullet"/>
      <w:lvlText w:val="o"/>
      <w:lvlJc w:val="left"/>
      <w:pPr>
        <w:ind w:left="6120" w:hanging="360"/>
      </w:pPr>
      <w:rPr>
        <w:rFonts w:ascii="Courier New" w:hAnsi="Courier New" w:hint="default"/>
      </w:rPr>
    </w:lvl>
    <w:lvl w:ilvl="8" w:tplc="50B6C44A">
      <w:start w:val="1"/>
      <w:numFmt w:val="bullet"/>
      <w:lvlText w:val=""/>
      <w:lvlJc w:val="left"/>
      <w:pPr>
        <w:ind w:left="6840" w:hanging="360"/>
      </w:pPr>
      <w:rPr>
        <w:rFonts w:ascii="Wingdings" w:hAnsi="Wingdings" w:hint="default"/>
      </w:rPr>
    </w:lvl>
  </w:abstractNum>
  <w:abstractNum w:abstractNumId="20" w15:restartNumberingAfterBreak="0">
    <w:nsid w:val="358D1104"/>
    <w:multiLevelType w:val="multilevel"/>
    <w:tmpl w:val="711A61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463A27"/>
    <w:multiLevelType w:val="multilevel"/>
    <w:tmpl w:val="3A8A52A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Arial"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A177A6"/>
    <w:multiLevelType w:val="hybridMultilevel"/>
    <w:tmpl w:val="FC807ACC"/>
    <w:lvl w:ilvl="0" w:tplc="6990358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60F7FBB"/>
    <w:multiLevelType w:val="multilevel"/>
    <w:tmpl w:val="F3441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A16290"/>
    <w:multiLevelType w:val="hybridMultilevel"/>
    <w:tmpl w:val="117AE1DC"/>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5" w15:restartNumberingAfterBreak="0">
    <w:nsid w:val="53A115B2"/>
    <w:multiLevelType w:val="hybridMultilevel"/>
    <w:tmpl w:val="3F1687BA"/>
    <w:lvl w:ilvl="0" w:tplc="0C0A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50A2BCA"/>
    <w:multiLevelType w:val="hybridMultilevel"/>
    <w:tmpl w:val="C1AC6864"/>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577141AF"/>
    <w:multiLevelType w:val="multilevel"/>
    <w:tmpl w:val="18444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pStyle w:val="Ttulo3"/>
      <w:lvlText w:val="■"/>
      <w:lvlJc w:val="left"/>
      <w:pPr>
        <w:ind w:left="2160" w:hanging="360"/>
      </w:pPr>
      <w:rPr>
        <w:u w:val="none"/>
      </w:rPr>
    </w:lvl>
    <w:lvl w:ilvl="3">
      <w:start w:val="1"/>
      <w:numFmt w:val="bullet"/>
      <w:pStyle w:val="Ttulo4"/>
      <w:lvlText w:val="●"/>
      <w:lvlJc w:val="left"/>
      <w:pPr>
        <w:ind w:left="2880" w:hanging="360"/>
      </w:pPr>
      <w:rPr>
        <w:u w:val="none"/>
      </w:rPr>
    </w:lvl>
    <w:lvl w:ilvl="4">
      <w:start w:val="1"/>
      <w:numFmt w:val="bullet"/>
      <w:pStyle w:val="Ttulo5"/>
      <w:lvlText w:val="○"/>
      <w:lvlJc w:val="left"/>
      <w:pPr>
        <w:ind w:left="3600" w:hanging="360"/>
      </w:pPr>
      <w:rPr>
        <w:u w:val="none"/>
      </w:rPr>
    </w:lvl>
    <w:lvl w:ilvl="5">
      <w:start w:val="1"/>
      <w:numFmt w:val="bullet"/>
      <w:pStyle w:val="Ttulo6"/>
      <w:lvlText w:val="■"/>
      <w:lvlJc w:val="left"/>
      <w:pPr>
        <w:ind w:left="4320" w:hanging="360"/>
      </w:pPr>
      <w:rPr>
        <w:u w:val="none"/>
      </w:rPr>
    </w:lvl>
    <w:lvl w:ilvl="6">
      <w:start w:val="1"/>
      <w:numFmt w:val="bullet"/>
      <w:pStyle w:val="Ttulo7"/>
      <w:lvlText w:val="●"/>
      <w:lvlJc w:val="left"/>
      <w:pPr>
        <w:ind w:left="5040" w:hanging="360"/>
      </w:pPr>
      <w:rPr>
        <w:u w:val="none"/>
      </w:rPr>
    </w:lvl>
    <w:lvl w:ilvl="7">
      <w:start w:val="1"/>
      <w:numFmt w:val="bullet"/>
      <w:pStyle w:val="Ttulo8"/>
      <w:lvlText w:val="○"/>
      <w:lvlJc w:val="left"/>
      <w:pPr>
        <w:ind w:left="5760" w:hanging="360"/>
      </w:pPr>
      <w:rPr>
        <w:u w:val="none"/>
      </w:rPr>
    </w:lvl>
    <w:lvl w:ilvl="8">
      <w:start w:val="1"/>
      <w:numFmt w:val="bullet"/>
      <w:pStyle w:val="Ttulo9"/>
      <w:lvlText w:val="■"/>
      <w:lvlJc w:val="left"/>
      <w:pPr>
        <w:ind w:left="6480" w:hanging="360"/>
      </w:pPr>
      <w:rPr>
        <w:u w:val="none"/>
      </w:rPr>
    </w:lvl>
  </w:abstractNum>
  <w:abstractNum w:abstractNumId="28" w15:restartNumberingAfterBreak="0">
    <w:nsid w:val="58035542"/>
    <w:multiLevelType w:val="hybridMultilevel"/>
    <w:tmpl w:val="EB140B88"/>
    <w:lvl w:ilvl="0" w:tplc="E4E26456">
      <w:start w:val="1"/>
      <w:numFmt w:val="bullet"/>
      <w:lvlText w:val="-"/>
      <w:lvlJc w:val="left"/>
      <w:pPr>
        <w:ind w:left="1080" w:hanging="360"/>
      </w:pPr>
      <w:rPr>
        <w:rFonts w:ascii="Aptos" w:hAnsi="Aptos" w:hint="default"/>
      </w:rPr>
    </w:lvl>
    <w:lvl w:ilvl="1" w:tplc="C470A13A">
      <w:start w:val="1"/>
      <w:numFmt w:val="bullet"/>
      <w:lvlText w:val="o"/>
      <w:lvlJc w:val="left"/>
      <w:pPr>
        <w:ind w:left="1800" w:hanging="360"/>
      </w:pPr>
      <w:rPr>
        <w:rFonts w:ascii="Courier New" w:hAnsi="Courier New" w:hint="default"/>
      </w:rPr>
    </w:lvl>
    <w:lvl w:ilvl="2" w:tplc="9C60A8FC">
      <w:start w:val="1"/>
      <w:numFmt w:val="bullet"/>
      <w:lvlText w:val=""/>
      <w:lvlJc w:val="left"/>
      <w:pPr>
        <w:ind w:left="2520" w:hanging="360"/>
      </w:pPr>
      <w:rPr>
        <w:rFonts w:ascii="Wingdings" w:hAnsi="Wingdings" w:hint="default"/>
      </w:rPr>
    </w:lvl>
    <w:lvl w:ilvl="3" w:tplc="6596C34C">
      <w:start w:val="1"/>
      <w:numFmt w:val="bullet"/>
      <w:lvlText w:val=""/>
      <w:lvlJc w:val="left"/>
      <w:pPr>
        <w:ind w:left="3240" w:hanging="360"/>
      </w:pPr>
      <w:rPr>
        <w:rFonts w:ascii="Symbol" w:hAnsi="Symbol" w:hint="default"/>
      </w:rPr>
    </w:lvl>
    <w:lvl w:ilvl="4" w:tplc="BC1CED5E">
      <w:start w:val="1"/>
      <w:numFmt w:val="bullet"/>
      <w:lvlText w:val="o"/>
      <w:lvlJc w:val="left"/>
      <w:pPr>
        <w:ind w:left="3960" w:hanging="360"/>
      </w:pPr>
      <w:rPr>
        <w:rFonts w:ascii="Courier New" w:hAnsi="Courier New" w:hint="default"/>
      </w:rPr>
    </w:lvl>
    <w:lvl w:ilvl="5" w:tplc="B1C8D73A">
      <w:start w:val="1"/>
      <w:numFmt w:val="bullet"/>
      <w:lvlText w:val=""/>
      <w:lvlJc w:val="left"/>
      <w:pPr>
        <w:ind w:left="4680" w:hanging="360"/>
      </w:pPr>
      <w:rPr>
        <w:rFonts w:ascii="Wingdings" w:hAnsi="Wingdings" w:hint="default"/>
      </w:rPr>
    </w:lvl>
    <w:lvl w:ilvl="6" w:tplc="84FE97B8">
      <w:start w:val="1"/>
      <w:numFmt w:val="bullet"/>
      <w:lvlText w:val=""/>
      <w:lvlJc w:val="left"/>
      <w:pPr>
        <w:ind w:left="5400" w:hanging="360"/>
      </w:pPr>
      <w:rPr>
        <w:rFonts w:ascii="Symbol" w:hAnsi="Symbol" w:hint="default"/>
      </w:rPr>
    </w:lvl>
    <w:lvl w:ilvl="7" w:tplc="E4ECB168">
      <w:start w:val="1"/>
      <w:numFmt w:val="bullet"/>
      <w:lvlText w:val="o"/>
      <w:lvlJc w:val="left"/>
      <w:pPr>
        <w:ind w:left="6120" w:hanging="360"/>
      </w:pPr>
      <w:rPr>
        <w:rFonts w:ascii="Courier New" w:hAnsi="Courier New" w:hint="default"/>
      </w:rPr>
    </w:lvl>
    <w:lvl w:ilvl="8" w:tplc="8A66F66E">
      <w:start w:val="1"/>
      <w:numFmt w:val="bullet"/>
      <w:lvlText w:val=""/>
      <w:lvlJc w:val="left"/>
      <w:pPr>
        <w:ind w:left="6840" w:hanging="360"/>
      </w:pPr>
      <w:rPr>
        <w:rFonts w:ascii="Wingdings" w:hAnsi="Wingdings" w:hint="default"/>
      </w:rPr>
    </w:lvl>
  </w:abstractNum>
  <w:abstractNum w:abstractNumId="29" w15:restartNumberingAfterBreak="0">
    <w:nsid w:val="58242DA2"/>
    <w:multiLevelType w:val="hybridMultilevel"/>
    <w:tmpl w:val="BF9652EA"/>
    <w:lvl w:ilvl="0" w:tplc="FFFFFFFF">
      <w:start w:val="1"/>
      <w:numFmt w:val="ordin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C13ED3"/>
    <w:multiLevelType w:val="hybridMultilevel"/>
    <w:tmpl w:val="B2783484"/>
    <w:lvl w:ilvl="0" w:tplc="4808E892">
      <w:numFmt w:val="bullet"/>
      <w:lvlText w:val="-"/>
      <w:lvlJc w:val="left"/>
      <w:pPr>
        <w:ind w:left="1080" w:hanging="360"/>
      </w:pPr>
      <w:rPr>
        <w:rFonts w:ascii="Arial" w:eastAsia="Arial" w:hAnsi="Arial"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1" w15:restartNumberingAfterBreak="0">
    <w:nsid w:val="5DB82EBC"/>
    <w:multiLevelType w:val="hybridMultilevel"/>
    <w:tmpl w:val="C1AC6864"/>
    <w:lvl w:ilvl="0" w:tplc="FFFFFFFF">
      <w:start w:val="1"/>
      <w:numFmt w:val="low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5F5A4A72"/>
    <w:multiLevelType w:val="hybridMultilevel"/>
    <w:tmpl w:val="9ED6F8E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FE06FFE"/>
    <w:multiLevelType w:val="multilevel"/>
    <w:tmpl w:val="8BB4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BC5E2C"/>
    <w:multiLevelType w:val="hybridMultilevel"/>
    <w:tmpl w:val="322E627A"/>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5" w15:restartNumberingAfterBreak="0">
    <w:nsid w:val="60D067FF"/>
    <w:multiLevelType w:val="hybridMultilevel"/>
    <w:tmpl w:val="8B1ADF4C"/>
    <w:lvl w:ilvl="0" w:tplc="EA38217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622605FE"/>
    <w:multiLevelType w:val="hybridMultilevel"/>
    <w:tmpl w:val="072A1314"/>
    <w:lvl w:ilvl="0" w:tplc="11C87788">
      <w:start w:val="1"/>
      <w:numFmt w:val="ordin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7" w15:restartNumberingAfterBreak="0">
    <w:nsid w:val="63103052"/>
    <w:multiLevelType w:val="hybridMultilevel"/>
    <w:tmpl w:val="9ED6F8E4"/>
    <w:lvl w:ilvl="0" w:tplc="0C0A0011">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8" w15:restartNumberingAfterBreak="0">
    <w:nsid w:val="63B7336B"/>
    <w:multiLevelType w:val="hybridMultilevel"/>
    <w:tmpl w:val="FA2C1EA2"/>
    <w:lvl w:ilvl="0" w:tplc="71D8C672">
      <w:start w:val="1"/>
      <w:numFmt w:val="decimal"/>
      <w:lvlText w:val="%1."/>
      <w:lvlJc w:val="left"/>
      <w:pPr>
        <w:ind w:left="360" w:hanging="360"/>
      </w:pPr>
      <w:rPr>
        <w:rFonts w:ascii="Arial Negrita" w:hAnsi="Arial Negrita" w:hint="default"/>
        <w:color w:val="auto"/>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9" w15:restartNumberingAfterBreak="0">
    <w:nsid w:val="642D6E0C"/>
    <w:multiLevelType w:val="hybridMultilevel"/>
    <w:tmpl w:val="FCDAEC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65E001F"/>
    <w:multiLevelType w:val="hybridMultilevel"/>
    <w:tmpl w:val="38464D1A"/>
    <w:lvl w:ilvl="0" w:tplc="0C0A0017">
      <w:start w:val="1"/>
      <w:numFmt w:val="lowerLetter"/>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41" w15:restartNumberingAfterBreak="0">
    <w:nsid w:val="6AB43927"/>
    <w:multiLevelType w:val="hybridMultilevel"/>
    <w:tmpl w:val="8BC22DE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2" w15:restartNumberingAfterBreak="0">
    <w:nsid w:val="737E700B"/>
    <w:multiLevelType w:val="multilevel"/>
    <w:tmpl w:val="2AE4B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1478ED"/>
    <w:multiLevelType w:val="hybridMultilevel"/>
    <w:tmpl w:val="7C543E24"/>
    <w:lvl w:ilvl="0" w:tplc="11C87788">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623671D"/>
    <w:multiLevelType w:val="multilevel"/>
    <w:tmpl w:val="20F0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7E5E4D"/>
    <w:multiLevelType w:val="multilevel"/>
    <w:tmpl w:val="07BE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9947C8"/>
    <w:multiLevelType w:val="hybridMultilevel"/>
    <w:tmpl w:val="3B4AF21C"/>
    <w:lvl w:ilvl="0" w:tplc="D722C94E">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2051831386">
    <w:abstractNumId w:val="19"/>
  </w:num>
  <w:num w:numId="2" w16cid:durableId="592587697">
    <w:abstractNumId w:val="10"/>
  </w:num>
  <w:num w:numId="3" w16cid:durableId="2007517490">
    <w:abstractNumId w:val="28"/>
  </w:num>
  <w:num w:numId="4" w16cid:durableId="252475432">
    <w:abstractNumId w:val="27"/>
  </w:num>
  <w:num w:numId="5" w16cid:durableId="1906066328">
    <w:abstractNumId w:val="46"/>
  </w:num>
  <w:num w:numId="6" w16cid:durableId="1527133371">
    <w:abstractNumId w:val="30"/>
  </w:num>
  <w:num w:numId="7" w16cid:durableId="6177404">
    <w:abstractNumId w:val="36"/>
  </w:num>
  <w:num w:numId="8" w16cid:durableId="1810786234">
    <w:abstractNumId w:val="2"/>
  </w:num>
  <w:num w:numId="9" w16cid:durableId="1105729769">
    <w:abstractNumId w:val="17"/>
  </w:num>
  <w:num w:numId="10" w16cid:durableId="609632884">
    <w:abstractNumId w:val="31"/>
  </w:num>
  <w:num w:numId="11" w16cid:durableId="594049400">
    <w:abstractNumId w:val="26"/>
  </w:num>
  <w:num w:numId="12" w16cid:durableId="1718428893">
    <w:abstractNumId w:val="13"/>
  </w:num>
  <w:num w:numId="13" w16cid:durableId="1172529956">
    <w:abstractNumId w:val="40"/>
  </w:num>
  <w:num w:numId="14" w16cid:durableId="1641422903">
    <w:abstractNumId w:val="1"/>
  </w:num>
  <w:num w:numId="15" w16cid:durableId="496767393">
    <w:abstractNumId w:val="35"/>
  </w:num>
  <w:num w:numId="16" w16cid:durableId="1772119974">
    <w:abstractNumId w:val="7"/>
  </w:num>
  <w:num w:numId="17" w16cid:durableId="1349795979">
    <w:abstractNumId w:val="24"/>
  </w:num>
  <w:num w:numId="18" w16cid:durableId="479351670">
    <w:abstractNumId w:val="5"/>
  </w:num>
  <w:num w:numId="19" w16cid:durableId="1387873238">
    <w:abstractNumId w:val="14"/>
  </w:num>
  <w:num w:numId="20" w16cid:durableId="614336239">
    <w:abstractNumId w:val="16"/>
  </w:num>
  <w:num w:numId="21" w16cid:durableId="639460905">
    <w:abstractNumId w:val="43"/>
  </w:num>
  <w:num w:numId="22" w16cid:durableId="1549489719">
    <w:abstractNumId w:val="29"/>
  </w:num>
  <w:num w:numId="23" w16cid:durableId="1383019085">
    <w:abstractNumId w:val="41"/>
  </w:num>
  <w:num w:numId="24" w16cid:durableId="1760981221">
    <w:abstractNumId w:val="34"/>
  </w:num>
  <w:num w:numId="25" w16cid:durableId="1357853061">
    <w:abstractNumId w:val="38"/>
  </w:num>
  <w:num w:numId="26" w16cid:durableId="1470635629">
    <w:abstractNumId w:val="0"/>
  </w:num>
  <w:num w:numId="27" w16cid:durableId="1388146864">
    <w:abstractNumId w:val="3"/>
  </w:num>
  <w:num w:numId="28" w16cid:durableId="1483350100">
    <w:abstractNumId w:val="23"/>
  </w:num>
  <w:num w:numId="29" w16cid:durableId="1542210621">
    <w:abstractNumId w:val="44"/>
  </w:num>
  <w:num w:numId="30" w16cid:durableId="671954068">
    <w:abstractNumId w:val="42"/>
  </w:num>
  <w:num w:numId="31" w16cid:durableId="1874612099">
    <w:abstractNumId w:val="20"/>
  </w:num>
  <w:num w:numId="32" w16cid:durableId="1012729822">
    <w:abstractNumId w:val="45"/>
  </w:num>
  <w:num w:numId="33" w16cid:durableId="625355479">
    <w:abstractNumId w:val="37"/>
  </w:num>
  <w:num w:numId="34" w16cid:durableId="448821508">
    <w:abstractNumId w:val="21"/>
  </w:num>
  <w:num w:numId="35" w16cid:durableId="467551784">
    <w:abstractNumId w:val="33"/>
  </w:num>
  <w:num w:numId="36" w16cid:durableId="1035422635">
    <w:abstractNumId w:val="11"/>
  </w:num>
  <w:num w:numId="37" w16cid:durableId="777994165">
    <w:abstractNumId w:val="6"/>
  </w:num>
  <w:num w:numId="38" w16cid:durableId="1316491612">
    <w:abstractNumId w:val="18"/>
  </w:num>
  <w:num w:numId="39" w16cid:durableId="1099639362">
    <w:abstractNumId w:val="39"/>
  </w:num>
  <w:num w:numId="40" w16cid:durableId="66265403">
    <w:abstractNumId w:val="25"/>
  </w:num>
  <w:num w:numId="41" w16cid:durableId="771821362">
    <w:abstractNumId w:val="32"/>
  </w:num>
  <w:num w:numId="42" w16cid:durableId="473986499">
    <w:abstractNumId w:val="8"/>
  </w:num>
  <w:num w:numId="43" w16cid:durableId="1426414805">
    <w:abstractNumId w:val="15"/>
  </w:num>
  <w:num w:numId="44" w16cid:durableId="2050572615">
    <w:abstractNumId w:val="9"/>
  </w:num>
  <w:num w:numId="45" w16cid:durableId="1351175819">
    <w:abstractNumId w:val="12"/>
  </w:num>
  <w:num w:numId="46" w16cid:durableId="120002688">
    <w:abstractNumId w:val="4"/>
  </w:num>
  <w:num w:numId="47" w16cid:durableId="784151139">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6B25"/>
    <w:rsid w:val="0000252C"/>
    <w:rsid w:val="0000294B"/>
    <w:rsid w:val="000037FE"/>
    <w:rsid w:val="000042E7"/>
    <w:rsid w:val="00023B6D"/>
    <w:rsid w:val="00024CD0"/>
    <w:rsid w:val="00031074"/>
    <w:rsid w:val="000318DE"/>
    <w:rsid w:val="00031A81"/>
    <w:rsid w:val="000321E7"/>
    <w:rsid w:val="000335F9"/>
    <w:rsid w:val="00033749"/>
    <w:rsid w:val="00033FC9"/>
    <w:rsid w:val="00034779"/>
    <w:rsid w:val="000357CC"/>
    <w:rsid w:val="00037ECC"/>
    <w:rsid w:val="0004107B"/>
    <w:rsid w:val="00041F03"/>
    <w:rsid w:val="00045DB1"/>
    <w:rsid w:val="000478C4"/>
    <w:rsid w:val="00055559"/>
    <w:rsid w:val="0006000B"/>
    <w:rsid w:val="000603F0"/>
    <w:rsid w:val="0006362F"/>
    <w:rsid w:val="0006508B"/>
    <w:rsid w:val="00066083"/>
    <w:rsid w:val="0006765B"/>
    <w:rsid w:val="00074092"/>
    <w:rsid w:val="00074629"/>
    <w:rsid w:val="00075EBE"/>
    <w:rsid w:val="00076638"/>
    <w:rsid w:val="00091029"/>
    <w:rsid w:val="00091383"/>
    <w:rsid w:val="00091C81"/>
    <w:rsid w:val="000959C3"/>
    <w:rsid w:val="000A244B"/>
    <w:rsid w:val="000A7C06"/>
    <w:rsid w:val="000B0444"/>
    <w:rsid w:val="000B0A50"/>
    <w:rsid w:val="000B4BE8"/>
    <w:rsid w:val="000B553D"/>
    <w:rsid w:val="000C0BE3"/>
    <w:rsid w:val="000C31C2"/>
    <w:rsid w:val="000C4BC2"/>
    <w:rsid w:val="000C5C22"/>
    <w:rsid w:val="000D1518"/>
    <w:rsid w:val="000D59DF"/>
    <w:rsid w:val="000E0813"/>
    <w:rsid w:val="000E45A8"/>
    <w:rsid w:val="000E546F"/>
    <w:rsid w:val="000E7DD4"/>
    <w:rsid w:val="000F2B69"/>
    <w:rsid w:val="000F4C12"/>
    <w:rsid w:val="00103454"/>
    <w:rsid w:val="0010473D"/>
    <w:rsid w:val="00110589"/>
    <w:rsid w:val="00114980"/>
    <w:rsid w:val="00120577"/>
    <w:rsid w:val="00122523"/>
    <w:rsid w:val="0012279D"/>
    <w:rsid w:val="001237B3"/>
    <w:rsid w:val="00125119"/>
    <w:rsid w:val="00127B03"/>
    <w:rsid w:val="001303A9"/>
    <w:rsid w:val="00130684"/>
    <w:rsid w:val="001350CB"/>
    <w:rsid w:val="001353F5"/>
    <w:rsid w:val="00137CD3"/>
    <w:rsid w:val="00141CAD"/>
    <w:rsid w:val="0014317D"/>
    <w:rsid w:val="00144842"/>
    <w:rsid w:val="0014758D"/>
    <w:rsid w:val="001504C2"/>
    <w:rsid w:val="00151571"/>
    <w:rsid w:val="001516F1"/>
    <w:rsid w:val="00152F17"/>
    <w:rsid w:val="001542CB"/>
    <w:rsid w:val="001544B3"/>
    <w:rsid w:val="00160DD3"/>
    <w:rsid w:val="00160DFF"/>
    <w:rsid w:val="001707B2"/>
    <w:rsid w:val="001737B4"/>
    <w:rsid w:val="00175D17"/>
    <w:rsid w:val="00176A13"/>
    <w:rsid w:val="0017700A"/>
    <w:rsid w:val="00181B27"/>
    <w:rsid w:val="00181BE7"/>
    <w:rsid w:val="00186369"/>
    <w:rsid w:val="001912BC"/>
    <w:rsid w:val="001915FA"/>
    <w:rsid w:val="001940B8"/>
    <w:rsid w:val="00197B27"/>
    <w:rsid w:val="001A0C73"/>
    <w:rsid w:val="001A182B"/>
    <w:rsid w:val="001A32EB"/>
    <w:rsid w:val="001A40BA"/>
    <w:rsid w:val="001A4435"/>
    <w:rsid w:val="001A47A9"/>
    <w:rsid w:val="001A4D84"/>
    <w:rsid w:val="001B0A36"/>
    <w:rsid w:val="001B64A6"/>
    <w:rsid w:val="001B7052"/>
    <w:rsid w:val="001B7B24"/>
    <w:rsid w:val="001C0F68"/>
    <w:rsid w:val="001C2105"/>
    <w:rsid w:val="001C47F7"/>
    <w:rsid w:val="001C5E6C"/>
    <w:rsid w:val="001C6EF8"/>
    <w:rsid w:val="001C7F63"/>
    <w:rsid w:val="001D00EB"/>
    <w:rsid w:val="001D083D"/>
    <w:rsid w:val="001D2118"/>
    <w:rsid w:val="001D3714"/>
    <w:rsid w:val="001E036A"/>
    <w:rsid w:val="001E0F93"/>
    <w:rsid w:val="001E1BF0"/>
    <w:rsid w:val="001E3E99"/>
    <w:rsid w:val="001F1A11"/>
    <w:rsid w:val="001F3D6D"/>
    <w:rsid w:val="001F4CEB"/>
    <w:rsid w:val="001F601E"/>
    <w:rsid w:val="00203EB8"/>
    <w:rsid w:val="002047A6"/>
    <w:rsid w:val="00205826"/>
    <w:rsid w:val="00206399"/>
    <w:rsid w:val="00207100"/>
    <w:rsid w:val="0021027D"/>
    <w:rsid w:val="00213F01"/>
    <w:rsid w:val="00215DEE"/>
    <w:rsid w:val="002172F7"/>
    <w:rsid w:val="002216BD"/>
    <w:rsid w:val="00222CB8"/>
    <w:rsid w:val="00227543"/>
    <w:rsid w:val="0023267B"/>
    <w:rsid w:val="00233A63"/>
    <w:rsid w:val="00234754"/>
    <w:rsid w:val="00236494"/>
    <w:rsid w:val="002429E4"/>
    <w:rsid w:val="00243A72"/>
    <w:rsid w:val="00243DF3"/>
    <w:rsid w:val="00244478"/>
    <w:rsid w:val="00255082"/>
    <w:rsid w:val="00256E2B"/>
    <w:rsid w:val="00260108"/>
    <w:rsid w:val="002603CC"/>
    <w:rsid w:val="00264344"/>
    <w:rsid w:val="002666C2"/>
    <w:rsid w:val="002671E3"/>
    <w:rsid w:val="00272576"/>
    <w:rsid w:val="00272C88"/>
    <w:rsid w:val="00274502"/>
    <w:rsid w:val="00280D7D"/>
    <w:rsid w:val="00281582"/>
    <w:rsid w:val="002838CB"/>
    <w:rsid w:val="00286F55"/>
    <w:rsid w:val="00287CE1"/>
    <w:rsid w:val="00291BD6"/>
    <w:rsid w:val="00296C39"/>
    <w:rsid w:val="00297EB6"/>
    <w:rsid w:val="002A0260"/>
    <w:rsid w:val="002A4F86"/>
    <w:rsid w:val="002A69CD"/>
    <w:rsid w:val="002A7692"/>
    <w:rsid w:val="002A7BE5"/>
    <w:rsid w:val="002B34EB"/>
    <w:rsid w:val="002B3FEC"/>
    <w:rsid w:val="002C0629"/>
    <w:rsid w:val="002C08AC"/>
    <w:rsid w:val="002C3317"/>
    <w:rsid w:val="002C64A5"/>
    <w:rsid w:val="002D010E"/>
    <w:rsid w:val="002D0E5B"/>
    <w:rsid w:val="002D2174"/>
    <w:rsid w:val="002D26C7"/>
    <w:rsid w:val="002D53F9"/>
    <w:rsid w:val="002D58EC"/>
    <w:rsid w:val="002D7907"/>
    <w:rsid w:val="002E235C"/>
    <w:rsid w:val="002E2466"/>
    <w:rsid w:val="002E54E2"/>
    <w:rsid w:val="002F1411"/>
    <w:rsid w:val="002F1F23"/>
    <w:rsid w:val="002F58BC"/>
    <w:rsid w:val="002F6E40"/>
    <w:rsid w:val="002F7319"/>
    <w:rsid w:val="00300F4E"/>
    <w:rsid w:val="00302B08"/>
    <w:rsid w:val="00304A7A"/>
    <w:rsid w:val="00306992"/>
    <w:rsid w:val="00307916"/>
    <w:rsid w:val="00307D24"/>
    <w:rsid w:val="0031082D"/>
    <w:rsid w:val="0031122D"/>
    <w:rsid w:val="003144D2"/>
    <w:rsid w:val="0031548E"/>
    <w:rsid w:val="00317021"/>
    <w:rsid w:val="00317960"/>
    <w:rsid w:val="00320A7D"/>
    <w:rsid w:val="00321F50"/>
    <w:rsid w:val="003224E1"/>
    <w:rsid w:val="00323F81"/>
    <w:rsid w:val="00324EF4"/>
    <w:rsid w:val="00326131"/>
    <w:rsid w:val="003302A5"/>
    <w:rsid w:val="00337057"/>
    <w:rsid w:val="00343250"/>
    <w:rsid w:val="0034330C"/>
    <w:rsid w:val="00343B47"/>
    <w:rsid w:val="003442CE"/>
    <w:rsid w:val="00344311"/>
    <w:rsid w:val="00350DD9"/>
    <w:rsid w:val="00353666"/>
    <w:rsid w:val="0035405C"/>
    <w:rsid w:val="0035442F"/>
    <w:rsid w:val="00354A99"/>
    <w:rsid w:val="00362BBE"/>
    <w:rsid w:val="0036518D"/>
    <w:rsid w:val="003703F2"/>
    <w:rsid w:val="00370CFE"/>
    <w:rsid w:val="003724E2"/>
    <w:rsid w:val="00377EFE"/>
    <w:rsid w:val="0038192E"/>
    <w:rsid w:val="00383FED"/>
    <w:rsid w:val="003913A9"/>
    <w:rsid w:val="00396AB7"/>
    <w:rsid w:val="003A46FC"/>
    <w:rsid w:val="003A4AEA"/>
    <w:rsid w:val="003A4E17"/>
    <w:rsid w:val="003B04A5"/>
    <w:rsid w:val="003B0D3E"/>
    <w:rsid w:val="003B2BE3"/>
    <w:rsid w:val="003B57CB"/>
    <w:rsid w:val="003B6AFD"/>
    <w:rsid w:val="003C1E74"/>
    <w:rsid w:val="003D2AF1"/>
    <w:rsid w:val="003D5282"/>
    <w:rsid w:val="003D54D2"/>
    <w:rsid w:val="003E3E19"/>
    <w:rsid w:val="003E42FB"/>
    <w:rsid w:val="003E59AB"/>
    <w:rsid w:val="003F36DB"/>
    <w:rsid w:val="003F40BE"/>
    <w:rsid w:val="003F4B53"/>
    <w:rsid w:val="003F7A02"/>
    <w:rsid w:val="00403E88"/>
    <w:rsid w:val="00410AB1"/>
    <w:rsid w:val="004217E7"/>
    <w:rsid w:val="00422F73"/>
    <w:rsid w:val="0042740B"/>
    <w:rsid w:val="00430040"/>
    <w:rsid w:val="004312D4"/>
    <w:rsid w:val="004321BC"/>
    <w:rsid w:val="004323CB"/>
    <w:rsid w:val="0044057C"/>
    <w:rsid w:val="0044073E"/>
    <w:rsid w:val="00443C37"/>
    <w:rsid w:val="004450A6"/>
    <w:rsid w:val="00462F51"/>
    <w:rsid w:val="004642CD"/>
    <w:rsid w:val="00466586"/>
    <w:rsid w:val="00466D78"/>
    <w:rsid w:val="00470958"/>
    <w:rsid w:val="00471AB0"/>
    <w:rsid w:val="00472997"/>
    <w:rsid w:val="0047384F"/>
    <w:rsid w:val="004816DB"/>
    <w:rsid w:val="0048285C"/>
    <w:rsid w:val="00482F76"/>
    <w:rsid w:val="00486BEF"/>
    <w:rsid w:val="00486D7B"/>
    <w:rsid w:val="00486F75"/>
    <w:rsid w:val="004871A6"/>
    <w:rsid w:val="004875C5"/>
    <w:rsid w:val="00490F28"/>
    <w:rsid w:val="004943FD"/>
    <w:rsid w:val="00495CA2"/>
    <w:rsid w:val="004A09DD"/>
    <w:rsid w:val="004A232E"/>
    <w:rsid w:val="004A2450"/>
    <w:rsid w:val="004A43CC"/>
    <w:rsid w:val="004A44F4"/>
    <w:rsid w:val="004A57A7"/>
    <w:rsid w:val="004A61B9"/>
    <w:rsid w:val="004A6A94"/>
    <w:rsid w:val="004B1A7A"/>
    <w:rsid w:val="004B1C1C"/>
    <w:rsid w:val="004B2F22"/>
    <w:rsid w:val="004B32C1"/>
    <w:rsid w:val="004B6A98"/>
    <w:rsid w:val="004B730C"/>
    <w:rsid w:val="004B7C79"/>
    <w:rsid w:val="004C193B"/>
    <w:rsid w:val="004C1E9E"/>
    <w:rsid w:val="004C5115"/>
    <w:rsid w:val="004C7B8F"/>
    <w:rsid w:val="004D01F0"/>
    <w:rsid w:val="004D0382"/>
    <w:rsid w:val="004D178C"/>
    <w:rsid w:val="004D3138"/>
    <w:rsid w:val="004D4056"/>
    <w:rsid w:val="004D6045"/>
    <w:rsid w:val="004E205C"/>
    <w:rsid w:val="004E28DF"/>
    <w:rsid w:val="004E50D6"/>
    <w:rsid w:val="004F24A9"/>
    <w:rsid w:val="004F4E7A"/>
    <w:rsid w:val="00502933"/>
    <w:rsid w:val="00503175"/>
    <w:rsid w:val="00503ADB"/>
    <w:rsid w:val="00504A8A"/>
    <w:rsid w:val="00513025"/>
    <w:rsid w:val="005139C9"/>
    <w:rsid w:val="00517913"/>
    <w:rsid w:val="00517F33"/>
    <w:rsid w:val="005200EC"/>
    <w:rsid w:val="005227F4"/>
    <w:rsid w:val="005235AD"/>
    <w:rsid w:val="00530226"/>
    <w:rsid w:val="0053153B"/>
    <w:rsid w:val="005316D4"/>
    <w:rsid w:val="00537AFD"/>
    <w:rsid w:val="00537DF1"/>
    <w:rsid w:val="00540F23"/>
    <w:rsid w:val="00547119"/>
    <w:rsid w:val="0055151A"/>
    <w:rsid w:val="00551BDE"/>
    <w:rsid w:val="00552365"/>
    <w:rsid w:val="005546AA"/>
    <w:rsid w:val="00560364"/>
    <w:rsid w:val="00560A1E"/>
    <w:rsid w:val="005637C3"/>
    <w:rsid w:val="00565679"/>
    <w:rsid w:val="005700C5"/>
    <w:rsid w:val="005702A8"/>
    <w:rsid w:val="00573095"/>
    <w:rsid w:val="0057604C"/>
    <w:rsid w:val="00577087"/>
    <w:rsid w:val="0057767F"/>
    <w:rsid w:val="0058361B"/>
    <w:rsid w:val="00585BDC"/>
    <w:rsid w:val="00586FDC"/>
    <w:rsid w:val="00587DA1"/>
    <w:rsid w:val="005902AA"/>
    <w:rsid w:val="0059512D"/>
    <w:rsid w:val="005B36D5"/>
    <w:rsid w:val="005B47D7"/>
    <w:rsid w:val="005B4E99"/>
    <w:rsid w:val="005B613E"/>
    <w:rsid w:val="005B78BF"/>
    <w:rsid w:val="005C113E"/>
    <w:rsid w:val="005C3B4E"/>
    <w:rsid w:val="005C5CD8"/>
    <w:rsid w:val="005D13D2"/>
    <w:rsid w:val="005D2AC3"/>
    <w:rsid w:val="005D35C6"/>
    <w:rsid w:val="005E0C4E"/>
    <w:rsid w:val="005E629B"/>
    <w:rsid w:val="005E6FC6"/>
    <w:rsid w:val="005F0C2E"/>
    <w:rsid w:val="005F2385"/>
    <w:rsid w:val="005F5367"/>
    <w:rsid w:val="005F6C44"/>
    <w:rsid w:val="005F7852"/>
    <w:rsid w:val="006006AF"/>
    <w:rsid w:val="006048FC"/>
    <w:rsid w:val="00604E93"/>
    <w:rsid w:val="00605057"/>
    <w:rsid w:val="006053AD"/>
    <w:rsid w:val="0060555A"/>
    <w:rsid w:val="00614183"/>
    <w:rsid w:val="00615335"/>
    <w:rsid w:val="00615938"/>
    <w:rsid w:val="006200AB"/>
    <w:rsid w:val="006276F5"/>
    <w:rsid w:val="00627810"/>
    <w:rsid w:val="006314B0"/>
    <w:rsid w:val="00635E06"/>
    <w:rsid w:val="0063610E"/>
    <w:rsid w:val="00643514"/>
    <w:rsid w:val="00643BF7"/>
    <w:rsid w:val="00646A4B"/>
    <w:rsid w:val="00647899"/>
    <w:rsid w:val="00663D19"/>
    <w:rsid w:val="00664ACA"/>
    <w:rsid w:val="00666521"/>
    <w:rsid w:val="006670BC"/>
    <w:rsid w:val="0066793B"/>
    <w:rsid w:val="00671DE0"/>
    <w:rsid w:val="00672CBC"/>
    <w:rsid w:val="00675AE7"/>
    <w:rsid w:val="006775F8"/>
    <w:rsid w:val="00685D8F"/>
    <w:rsid w:val="00686213"/>
    <w:rsid w:val="00692CB3"/>
    <w:rsid w:val="006965E2"/>
    <w:rsid w:val="006A1889"/>
    <w:rsid w:val="006A2902"/>
    <w:rsid w:val="006A41DF"/>
    <w:rsid w:val="006B31F2"/>
    <w:rsid w:val="006B3EC4"/>
    <w:rsid w:val="006B44F6"/>
    <w:rsid w:val="006B4EE8"/>
    <w:rsid w:val="006B52FE"/>
    <w:rsid w:val="006B7AEE"/>
    <w:rsid w:val="006C19C4"/>
    <w:rsid w:val="006C3087"/>
    <w:rsid w:val="006C77B0"/>
    <w:rsid w:val="006D4916"/>
    <w:rsid w:val="006D4D85"/>
    <w:rsid w:val="006D658A"/>
    <w:rsid w:val="006D7821"/>
    <w:rsid w:val="006E0080"/>
    <w:rsid w:val="006E03D9"/>
    <w:rsid w:val="006E33E0"/>
    <w:rsid w:val="006E36E7"/>
    <w:rsid w:val="006E3E13"/>
    <w:rsid w:val="006E624E"/>
    <w:rsid w:val="006E66A8"/>
    <w:rsid w:val="006F13C6"/>
    <w:rsid w:val="006F29A0"/>
    <w:rsid w:val="006F3AA5"/>
    <w:rsid w:val="006F626F"/>
    <w:rsid w:val="00701837"/>
    <w:rsid w:val="00704C9D"/>
    <w:rsid w:val="0070690B"/>
    <w:rsid w:val="00706D6B"/>
    <w:rsid w:val="00713CE0"/>
    <w:rsid w:val="0071578E"/>
    <w:rsid w:val="00716ABB"/>
    <w:rsid w:val="00716F93"/>
    <w:rsid w:val="00720D48"/>
    <w:rsid w:val="0073012F"/>
    <w:rsid w:val="0073176E"/>
    <w:rsid w:val="0073246B"/>
    <w:rsid w:val="007373D2"/>
    <w:rsid w:val="00743F03"/>
    <w:rsid w:val="007449ED"/>
    <w:rsid w:val="007501BA"/>
    <w:rsid w:val="00753781"/>
    <w:rsid w:val="00755147"/>
    <w:rsid w:val="0075531E"/>
    <w:rsid w:val="007655D5"/>
    <w:rsid w:val="00765DEE"/>
    <w:rsid w:val="0077143C"/>
    <w:rsid w:val="00782110"/>
    <w:rsid w:val="007825DF"/>
    <w:rsid w:val="00790BF3"/>
    <w:rsid w:val="0079188D"/>
    <w:rsid w:val="0079279B"/>
    <w:rsid w:val="00795D05"/>
    <w:rsid w:val="00797300"/>
    <w:rsid w:val="0079760D"/>
    <w:rsid w:val="007A0AEC"/>
    <w:rsid w:val="007A37CA"/>
    <w:rsid w:val="007A5A6A"/>
    <w:rsid w:val="007A787D"/>
    <w:rsid w:val="007B2434"/>
    <w:rsid w:val="007B473C"/>
    <w:rsid w:val="007B5BAB"/>
    <w:rsid w:val="007B6A51"/>
    <w:rsid w:val="007B740B"/>
    <w:rsid w:val="007B7620"/>
    <w:rsid w:val="007B7F4A"/>
    <w:rsid w:val="007C1718"/>
    <w:rsid w:val="007C1C9C"/>
    <w:rsid w:val="007C2923"/>
    <w:rsid w:val="007C29CB"/>
    <w:rsid w:val="007C4C54"/>
    <w:rsid w:val="007C6409"/>
    <w:rsid w:val="007C66A0"/>
    <w:rsid w:val="007C6841"/>
    <w:rsid w:val="007C6CC1"/>
    <w:rsid w:val="007D1E61"/>
    <w:rsid w:val="007D2056"/>
    <w:rsid w:val="007D2F64"/>
    <w:rsid w:val="007D383A"/>
    <w:rsid w:val="007D6F59"/>
    <w:rsid w:val="007E15E6"/>
    <w:rsid w:val="007E1859"/>
    <w:rsid w:val="007F0337"/>
    <w:rsid w:val="007F484B"/>
    <w:rsid w:val="007F7C98"/>
    <w:rsid w:val="00800349"/>
    <w:rsid w:val="00800F5E"/>
    <w:rsid w:val="00803B49"/>
    <w:rsid w:val="00806BBC"/>
    <w:rsid w:val="0080728C"/>
    <w:rsid w:val="008075A4"/>
    <w:rsid w:val="008108C8"/>
    <w:rsid w:val="00814196"/>
    <w:rsid w:val="00815DB5"/>
    <w:rsid w:val="00816C76"/>
    <w:rsid w:val="00821289"/>
    <w:rsid w:val="008223FD"/>
    <w:rsid w:val="00822B8B"/>
    <w:rsid w:val="0082741B"/>
    <w:rsid w:val="00830492"/>
    <w:rsid w:val="00833AB5"/>
    <w:rsid w:val="00836C11"/>
    <w:rsid w:val="0083711B"/>
    <w:rsid w:val="0083725E"/>
    <w:rsid w:val="008400BD"/>
    <w:rsid w:val="0084270B"/>
    <w:rsid w:val="0084275F"/>
    <w:rsid w:val="0084546F"/>
    <w:rsid w:val="00845CCC"/>
    <w:rsid w:val="00846699"/>
    <w:rsid w:val="0084703C"/>
    <w:rsid w:val="0085121F"/>
    <w:rsid w:val="00852B7A"/>
    <w:rsid w:val="008530E4"/>
    <w:rsid w:val="008543C9"/>
    <w:rsid w:val="008557FB"/>
    <w:rsid w:val="00855BE2"/>
    <w:rsid w:val="00856937"/>
    <w:rsid w:val="00856F25"/>
    <w:rsid w:val="0086113A"/>
    <w:rsid w:val="00861687"/>
    <w:rsid w:val="008630C3"/>
    <w:rsid w:val="008652CC"/>
    <w:rsid w:val="00867E92"/>
    <w:rsid w:val="008841D0"/>
    <w:rsid w:val="00884C9B"/>
    <w:rsid w:val="008914E7"/>
    <w:rsid w:val="008920F9"/>
    <w:rsid w:val="00894FED"/>
    <w:rsid w:val="008952D6"/>
    <w:rsid w:val="00895528"/>
    <w:rsid w:val="008957AE"/>
    <w:rsid w:val="0089619A"/>
    <w:rsid w:val="00897173"/>
    <w:rsid w:val="0089725E"/>
    <w:rsid w:val="00897DE0"/>
    <w:rsid w:val="008A09DB"/>
    <w:rsid w:val="008A1AC0"/>
    <w:rsid w:val="008A30C1"/>
    <w:rsid w:val="008A5065"/>
    <w:rsid w:val="008A676A"/>
    <w:rsid w:val="008B0AA7"/>
    <w:rsid w:val="008B19AB"/>
    <w:rsid w:val="008B1A3C"/>
    <w:rsid w:val="008B38D6"/>
    <w:rsid w:val="008B3BC4"/>
    <w:rsid w:val="008B40C4"/>
    <w:rsid w:val="008B4C37"/>
    <w:rsid w:val="008B74B7"/>
    <w:rsid w:val="008C0CC8"/>
    <w:rsid w:val="008C11C8"/>
    <w:rsid w:val="008C2364"/>
    <w:rsid w:val="008C2861"/>
    <w:rsid w:val="008C3081"/>
    <w:rsid w:val="008C3D85"/>
    <w:rsid w:val="008C3E42"/>
    <w:rsid w:val="008C6187"/>
    <w:rsid w:val="008C755F"/>
    <w:rsid w:val="008C7B10"/>
    <w:rsid w:val="008D0489"/>
    <w:rsid w:val="008D1F4D"/>
    <w:rsid w:val="008D2666"/>
    <w:rsid w:val="008D30E2"/>
    <w:rsid w:val="008D3A29"/>
    <w:rsid w:val="008D6DB9"/>
    <w:rsid w:val="008D7418"/>
    <w:rsid w:val="008D7FE2"/>
    <w:rsid w:val="008E1071"/>
    <w:rsid w:val="008E2384"/>
    <w:rsid w:val="008E50EF"/>
    <w:rsid w:val="008F1106"/>
    <w:rsid w:val="008F2187"/>
    <w:rsid w:val="008F6982"/>
    <w:rsid w:val="008F6CB5"/>
    <w:rsid w:val="00901743"/>
    <w:rsid w:val="00901A99"/>
    <w:rsid w:val="00902847"/>
    <w:rsid w:val="00905575"/>
    <w:rsid w:val="00916676"/>
    <w:rsid w:val="00917857"/>
    <w:rsid w:val="0091799C"/>
    <w:rsid w:val="00921CC6"/>
    <w:rsid w:val="00926E1C"/>
    <w:rsid w:val="00931B37"/>
    <w:rsid w:val="00934A56"/>
    <w:rsid w:val="009366F7"/>
    <w:rsid w:val="00940830"/>
    <w:rsid w:val="009412FD"/>
    <w:rsid w:val="0094431C"/>
    <w:rsid w:val="00945614"/>
    <w:rsid w:val="00946575"/>
    <w:rsid w:val="00946839"/>
    <w:rsid w:val="00952EF1"/>
    <w:rsid w:val="00953883"/>
    <w:rsid w:val="009546E5"/>
    <w:rsid w:val="009554B9"/>
    <w:rsid w:val="0095736F"/>
    <w:rsid w:val="009604F3"/>
    <w:rsid w:val="009631B9"/>
    <w:rsid w:val="009639CB"/>
    <w:rsid w:val="00963C1D"/>
    <w:rsid w:val="00964262"/>
    <w:rsid w:val="00964264"/>
    <w:rsid w:val="009653C6"/>
    <w:rsid w:val="00965BF7"/>
    <w:rsid w:val="009674D8"/>
    <w:rsid w:val="0096772D"/>
    <w:rsid w:val="00972E2B"/>
    <w:rsid w:val="009751E7"/>
    <w:rsid w:val="009762BB"/>
    <w:rsid w:val="009764A5"/>
    <w:rsid w:val="00976F09"/>
    <w:rsid w:val="009770ED"/>
    <w:rsid w:val="00977CCB"/>
    <w:rsid w:val="009841CF"/>
    <w:rsid w:val="0099040F"/>
    <w:rsid w:val="0099281B"/>
    <w:rsid w:val="00994F6D"/>
    <w:rsid w:val="00995180"/>
    <w:rsid w:val="00995FDB"/>
    <w:rsid w:val="0099689D"/>
    <w:rsid w:val="00997C04"/>
    <w:rsid w:val="009A0DFE"/>
    <w:rsid w:val="009A13FF"/>
    <w:rsid w:val="009A2041"/>
    <w:rsid w:val="009A4C35"/>
    <w:rsid w:val="009A56B9"/>
    <w:rsid w:val="009A5F82"/>
    <w:rsid w:val="009A6602"/>
    <w:rsid w:val="009A73D4"/>
    <w:rsid w:val="009B139C"/>
    <w:rsid w:val="009B2CA9"/>
    <w:rsid w:val="009B461F"/>
    <w:rsid w:val="009B46C7"/>
    <w:rsid w:val="009B667B"/>
    <w:rsid w:val="009B66A0"/>
    <w:rsid w:val="009B7E2C"/>
    <w:rsid w:val="009C0AD6"/>
    <w:rsid w:val="009C3424"/>
    <w:rsid w:val="009C401E"/>
    <w:rsid w:val="009C4418"/>
    <w:rsid w:val="009C4548"/>
    <w:rsid w:val="009C6F1D"/>
    <w:rsid w:val="009D076F"/>
    <w:rsid w:val="009D0F56"/>
    <w:rsid w:val="009D1E7B"/>
    <w:rsid w:val="009D2AF5"/>
    <w:rsid w:val="009E003C"/>
    <w:rsid w:val="009E02BB"/>
    <w:rsid w:val="009E3B34"/>
    <w:rsid w:val="009E4905"/>
    <w:rsid w:val="009E4D1A"/>
    <w:rsid w:val="009E5176"/>
    <w:rsid w:val="009E5201"/>
    <w:rsid w:val="009E5335"/>
    <w:rsid w:val="009E5677"/>
    <w:rsid w:val="009E5793"/>
    <w:rsid w:val="009E6831"/>
    <w:rsid w:val="009F17CA"/>
    <w:rsid w:val="009F55FE"/>
    <w:rsid w:val="009F7C89"/>
    <w:rsid w:val="00A00694"/>
    <w:rsid w:val="00A1061D"/>
    <w:rsid w:val="00A10E53"/>
    <w:rsid w:val="00A1120C"/>
    <w:rsid w:val="00A12FA3"/>
    <w:rsid w:val="00A15ABE"/>
    <w:rsid w:val="00A16883"/>
    <w:rsid w:val="00A174CA"/>
    <w:rsid w:val="00A224AE"/>
    <w:rsid w:val="00A24BC8"/>
    <w:rsid w:val="00A251CB"/>
    <w:rsid w:val="00A26B25"/>
    <w:rsid w:val="00A31B97"/>
    <w:rsid w:val="00A3257C"/>
    <w:rsid w:val="00A33CED"/>
    <w:rsid w:val="00A35FC7"/>
    <w:rsid w:val="00A37FDE"/>
    <w:rsid w:val="00A41ACD"/>
    <w:rsid w:val="00A43621"/>
    <w:rsid w:val="00A45167"/>
    <w:rsid w:val="00A50121"/>
    <w:rsid w:val="00A52087"/>
    <w:rsid w:val="00A52C62"/>
    <w:rsid w:val="00A53CAD"/>
    <w:rsid w:val="00A606A1"/>
    <w:rsid w:val="00A60C42"/>
    <w:rsid w:val="00A6200D"/>
    <w:rsid w:val="00A645A9"/>
    <w:rsid w:val="00A65FD3"/>
    <w:rsid w:val="00A66167"/>
    <w:rsid w:val="00A66395"/>
    <w:rsid w:val="00A665C3"/>
    <w:rsid w:val="00A70719"/>
    <w:rsid w:val="00A710B3"/>
    <w:rsid w:val="00A715B2"/>
    <w:rsid w:val="00A73AAE"/>
    <w:rsid w:val="00A74867"/>
    <w:rsid w:val="00A75229"/>
    <w:rsid w:val="00A76049"/>
    <w:rsid w:val="00A760A7"/>
    <w:rsid w:val="00A769C0"/>
    <w:rsid w:val="00A805CB"/>
    <w:rsid w:val="00A81AFD"/>
    <w:rsid w:val="00A822C7"/>
    <w:rsid w:val="00A8242E"/>
    <w:rsid w:val="00A82796"/>
    <w:rsid w:val="00A82995"/>
    <w:rsid w:val="00A83AB4"/>
    <w:rsid w:val="00A86C3B"/>
    <w:rsid w:val="00A945F4"/>
    <w:rsid w:val="00A94776"/>
    <w:rsid w:val="00A97EA0"/>
    <w:rsid w:val="00AA0376"/>
    <w:rsid w:val="00AA11D8"/>
    <w:rsid w:val="00AA122C"/>
    <w:rsid w:val="00AA2592"/>
    <w:rsid w:val="00AA34B5"/>
    <w:rsid w:val="00AA3A18"/>
    <w:rsid w:val="00AA5902"/>
    <w:rsid w:val="00AA6B95"/>
    <w:rsid w:val="00AB7C9F"/>
    <w:rsid w:val="00AC1662"/>
    <w:rsid w:val="00AC1982"/>
    <w:rsid w:val="00AC5070"/>
    <w:rsid w:val="00AC75BC"/>
    <w:rsid w:val="00AD70CC"/>
    <w:rsid w:val="00AD7540"/>
    <w:rsid w:val="00AE2D04"/>
    <w:rsid w:val="00AE5D98"/>
    <w:rsid w:val="00AE6AB2"/>
    <w:rsid w:val="00AF2F10"/>
    <w:rsid w:val="00AF3139"/>
    <w:rsid w:val="00AF3771"/>
    <w:rsid w:val="00AF4399"/>
    <w:rsid w:val="00AF68D9"/>
    <w:rsid w:val="00AF6BFE"/>
    <w:rsid w:val="00AF7E86"/>
    <w:rsid w:val="00B01169"/>
    <w:rsid w:val="00B01335"/>
    <w:rsid w:val="00B021F2"/>
    <w:rsid w:val="00B060BF"/>
    <w:rsid w:val="00B06F8C"/>
    <w:rsid w:val="00B1038A"/>
    <w:rsid w:val="00B10D4A"/>
    <w:rsid w:val="00B10D5E"/>
    <w:rsid w:val="00B16CCA"/>
    <w:rsid w:val="00B16F11"/>
    <w:rsid w:val="00B2034B"/>
    <w:rsid w:val="00B21A08"/>
    <w:rsid w:val="00B238F0"/>
    <w:rsid w:val="00B26D43"/>
    <w:rsid w:val="00B27BCE"/>
    <w:rsid w:val="00B3011C"/>
    <w:rsid w:val="00B31726"/>
    <w:rsid w:val="00B40D46"/>
    <w:rsid w:val="00B46BC2"/>
    <w:rsid w:val="00B510EE"/>
    <w:rsid w:val="00B56397"/>
    <w:rsid w:val="00B63879"/>
    <w:rsid w:val="00B647DF"/>
    <w:rsid w:val="00B7265A"/>
    <w:rsid w:val="00B72727"/>
    <w:rsid w:val="00B72838"/>
    <w:rsid w:val="00B72A87"/>
    <w:rsid w:val="00B7328D"/>
    <w:rsid w:val="00B7536E"/>
    <w:rsid w:val="00B8076A"/>
    <w:rsid w:val="00B8122D"/>
    <w:rsid w:val="00B83AFC"/>
    <w:rsid w:val="00B85838"/>
    <w:rsid w:val="00B86A3D"/>
    <w:rsid w:val="00B8740A"/>
    <w:rsid w:val="00B877A0"/>
    <w:rsid w:val="00B91279"/>
    <w:rsid w:val="00B919F6"/>
    <w:rsid w:val="00B9444A"/>
    <w:rsid w:val="00BA0A1D"/>
    <w:rsid w:val="00BA76A9"/>
    <w:rsid w:val="00BB318C"/>
    <w:rsid w:val="00BB3D0A"/>
    <w:rsid w:val="00BB432E"/>
    <w:rsid w:val="00BB4786"/>
    <w:rsid w:val="00BB6BF5"/>
    <w:rsid w:val="00BC023F"/>
    <w:rsid w:val="00BC15D7"/>
    <w:rsid w:val="00BC1E76"/>
    <w:rsid w:val="00BC2A30"/>
    <w:rsid w:val="00BC3E3A"/>
    <w:rsid w:val="00BD1BA0"/>
    <w:rsid w:val="00BD2109"/>
    <w:rsid w:val="00BD2944"/>
    <w:rsid w:val="00BD2F4A"/>
    <w:rsid w:val="00BD333A"/>
    <w:rsid w:val="00BD3F81"/>
    <w:rsid w:val="00BE1AB8"/>
    <w:rsid w:val="00BE243C"/>
    <w:rsid w:val="00BE2D10"/>
    <w:rsid w:val="00BE4568"/>
    <w:rsid w:val="00BE6858"/>
    <w:rsid w:val="00BE736E"/>
    <w:rsid w:val="00BE7F24"/>
    <w:rsid w:val="00BF03F4"/>
    <w:rsid w:val="00BF1976"/>
    <w:rsid w:val="00BF6E3F"/>
    <w:rsid w:val="00C0034D"/>
    <w:rsid w:val="00C01071"/>
    <w:rsid w:val="00C04DFB"/>
    <w:rsid w:val="00C0634F"/>
    <w:rsid w:val="00C068B2"/>
    <w:rsid w:val="00C07894"/>
    <w:rsid w:val="00C103F4"/>
    <w:rsid w:val="00C1130B"/>
    <w:rsid w:val="00C13DA1"/>
    <w:rsid w:val="00C146B3"/>
    <w:rsid w:val="00C156E9"/>
    <w:rsid w:val="00C16C10"/>
    <w:rsid w:val="00C20F49"/>
    <w:rsid w:val="00C269BC"/>
    <w:rsid w:val="00C27D76"/>
    <w:rsid w:val="00C31721"/>
    <w:rsid w:val="00C31FB7"/>
    <w:rsid w:val="00C3404D"/>
    <w:rsid w:val="00C3596A"/>
    <w:rsid w:val="00C405DF"/>
    <w:rsid w:val="00C44B70"/>
    <w:rsid w:val="00C46067"/>
    <w:rsid w:val="00C465F4"/>
    <w:rsid w:val="00C47CF7"/>
    <w:rsid w:val="00C52587"/>
    <w:rsid w:val="00C53FAF"/>
    <w:rsid w:val="00C54E27"/>
    <w:rsid w:val="00C56509"/>
    <w:rsid w:val="00C672E7"/>
    <w:rsid w:val="00C675C4"/>
    <w:rsid w:val="00C700E6"/>
    <w:rsid w:val="00C7140C"/>
    <w:rsid w:val="00C730C1"/>
    <w:rsid w:val="00C76ABB"/>
    <w:rsid w:val="00C800AD"/>
    <w:rsid w:val="00C819E3"/>
    <w:rsid w:val="00C82BFF"/>
    <w:rsid w:val="00C83D15"/>
    <w:rsid w:val="00C85029"/>
    <w:rsid w:val="00C91501"/>
    <w:rsid w:val="00C9182A"/>
    <w:rsid w:val="00C93002"/>
    <w:rsid w:val="00C943B0"/>
    <w:rsid w:val="00CA1831"/>
    <w:rsid w:val="00CA2216"/>
    <w:rsid w:val="00CA2F23"/>
    <w:rsid w:val="00CA312E"/>
    <w:rsid w:val="00CA361B"/>
    <w:rsid w:val="00CA3D89"/>
    <w:rsid w:val="00CB558D"/>
    <w:rsid w:val="00CC41E3"/>
    <w:rsid w:val="00CD03B7"/>
    <w:rsid w:val="00CD0939"/>
    <w:rsid w:val="00CD2C7C"/>
    <w:rsid w:val="00CE0E4C"/>
    <w:rsid w:val="00CE287A"/>
    <w:rsid w:val="00CE3317"/>
    <w:rsid w:val="00CE46C4"/>
    <w:rsid w:val="00CE7015"/>
    <w:rsid w:val="00CF047D"/>
    <w:rsid w:val="00CF27AA"/>
    <w:rsid w:val="00CF3442"/>
    <w:rsid w:val="00CF35D7"/>
    <w:rsid w:val="00CF396E"/>
    <w:rsid w:val="00CF3EA7"/>
    <w:rsid w:val="00CF6D42"/>
    <w:rsid w:val="00CF7D9B"/>
    <w:rsid w:val="00D14B33"/>
    <w:rsid w:val="00D152F4"/>
    <w:rsid w:val="00D16E0E"/>
    <w:rsid w:val="00D16F3E"/>
    <w:rsid w:val="00D21194"/>
    <w:rsid w:val="00D24CA9"/>
    <w:rsid w:val="00D2556F"/>
    <w:rsid w:val="00D264BC"/>
    <w:rsid w:val="00D26893"/>
    <w:rsid w:val="00D336F0"/>
    <w:rsid w:val="00D33B99"/>
    <w:rsid w:val="00D34DE7"/>
    <w:rsid w:val="00D35473"/>
    <w:rsid w:val="00D366D0"/>
    <w:rsid w:val="00D429FA"/>
    <w:rsid w:val="00D44D3A"/>
    <w:rsid w:val="00D55E12"/>
    <w:rsid w:val="00D55F4F"/>
    <w:rsid w:val="00D57977"/>
    <w:rsid w:val="00D60D10"/>
    <w:rsid w:val="00D61F4A"/>
    <w:rsid w:val="00D67E66"/>
    <w:rsid w:val="00D7289B"/>
    <w:rsid w:val="00D72E4A"/>
    <w:rsid w:val="00D749E2"/>
    <w:rsid w:val="00D75169"/>
    <w:rsid w:val="00D909A6"/>
    <w:rsid w:val="00D93BAF"/>
    <w:rsid w:val="00D95360"/>
    <w:rsid w:val="00D95BD6"/>
    <w:rsid w:val="00DA05AD"/>
    <w:rsid w:val="00DA45B1"/>
    <w:rsid w:val="00DB01C5"/>
    <w:rsid w:val="00DB114A"/>
    <w:rsid w:val="00DC4AB2"/>
    <w:rsid w:val="00DC5703"/>
    <w:rsid w:val="00DC722E"/>
    <w:rsid w:val="00DD2D6F"/>
    <w:rsid w:val="00DD4925"/>
    <w:rsid w:val="00DD61CC"/>
    <w:rsid w:val="00DD6E4B"/>
    <w:rsid w:val="00DE21F0"/>
    <w:rsid w:val="00DF477E"/>
    <w:rsid w:val="00DF680B"/>
    <w:rsid w:val="00DF71A5"/>
    <w:rsid w:val="00DF7914"/>
    <w:rsid w:val="00E003B0"/>
    <w:rsid w:val="00E05F3D"/>
    <w:rsid w:val="00E063E0"/>
    <w:rsid w:val="00E10C25"/>
    <w:rsid w:val="00E121B1"/>
    <w:rsid w:val="00E14F99"/>
    <w:rsid w:val="00E15DB7"/>
    <w:rsid w:val="00E17304"/>
    <w:rsid w:val="00E20352"/>
    <w:rsid w:val="00E26800"/>
    <w:rsid w:val="00E30B75"/>
    <w:rsid w:val="00E31FFC"/>
    <w:rsid w:val="00E328A3"/>
    <w:rsid w:val="00E35497"/>
    <w:rsid w:val="00E362A5"/>
    <w:rsid w:val="00E36BD4"/>
    <w:rsid w:val="00E36C98"/>
    <w:rsid w:val="00E41EC9"/>
    <w:rsid w:val="00E42C9A"/>
    <w:rsid w:val="00E43CC7"/>
    <w:rsid w:val="00E43FEE"/>
    <w:rsid w:val="00E51C8D"/>
    <w:rsid w:val="00E60F1E"/>
    <w:rsid w:val="00E653B4"/>
    <w:rsid w:val="00E7054A"/>
    <w:rsid w:val="00E70650"/>
    <w:rsid w:val="00E71865"/>
    <w:rsid w:val="00E76DBE"/>
    <w:rsid w:val="00E802BD"/>
    <w:rsid w:val="00E811D6"/>
    <w:rsid w:val="00E837EC"/>
    <w:rsid w:val="00E8598B"/>
    <w:rsid w:val="00E87832"/>
    <w:rsid w:val="00E91645"/>
    <w:rsid w:val="00E94967"/>
    <w:rsid w:val="00E96AEF"/>
    <w:rsid w:val="00E972E8"/>
    <w:rsid w:val="00EA44FA"/>
    <w:rsid w:val="00EB09B0"/>
    <w:rsid w:val="00EB3A84"/>
    <w:rsid w:val="00EB4CC6"/>
    <w:rsid w:val="00EB7A11"/>
    <w:rsid w:val="00EC04FF"/>
    <w:rsid w:val="00EC058A"/>
    <w:rsid w:val="00EC5604"/>
    <w:rsid w:val="00ED03F2"/>
    <w:rsid w:val="00ED0E47"/>
    <w:rsid w:val="00ED1062"/>
    <w:rsid w:val="00ED1791"/>
    <w:rsid w:val="00ED1B63"/>
    <w:rsid w:val="00ED55B6"/>
    <w:rsid w:val="00EE25D3"/>
    <w:rsid w:val="00EE2D35"/>
    <w:rsid w:val="00EE3949"/>
    <w:rsid w:val="00EE675C"/>
    <w:rsid w:val="00EF14F5"/>
    <w:rsid w:val="00EF15DB"/>
    <w:rsid w:val="00EF1A24"/>
    <w:rsid w:val="00EF4EFA"/>
    <w:rsid w:val="00EF6233"/>
    <w:rsid w:val="00F00996"/>
    <w:rsid w:val="00F01833"/>
    <w:rsid w:val="00F0353D"/>
    <w:rsid w:val="00F07EC7"/>
    <w:rsid w:val="00F110FF"/>
    <w:rsid w:val="00F1204B"/>
    <w:rsid w:val="00F15CF0"/>
    <w:rsid w:val="00F15DCE"/>
    <w:rsid w:val="00F20EB5"/>
    <w:rsid w:val="00F22A9E"/>
    <w:rsid w:val="00F24395"/>
    <w:rsid w:val="00F25A43"/>
    <w:rsid w:val="00F31A2D"/>
    <w:rsid w:val="00F36A21"/>
    <w:rsid w:val="00F36C98"/>
    <w:rsid w:val="00F4059B"/>
    <w:rsid w:val="00F41513"/>
    <w:rsid w:val="00F41F69"/>
    <w:rsid w:val="00F433EF"/>
    <w:rsid w:val="00F44DD8"/>
    <w:rsid w:val="00F45090"/>
    <w:rsid w:val="00F45E8B"/>
    <w:rsid w:val="00F51ADA"/>
    <w:rsid w:val="00F536B6"/>
    <w:rsid w:val="00F53E8A"/>
    <w:rsid w:val="00F56CB2"/>
    <w:rsid w:val="00F612A0"/>
    <w:rsid w:val="00F61827"/>
    <w:rsid w:val="00F656EC"/>
    <w:rsid w:val="00F6762B"/>
    <w:rsid w:val="00F70348"/>
    <w:rsid w:val="00F71D6D"/>
    <w:rsid w:val="00F72CB1"/>
    <w:rsid w:val="00F75443"/>
    <w:rsid w:val="00F76C8D"/>
    <w:rsid w:val="00F80F7B"/>
    <w:rsid w:val="00F81E94"/>
    <w:rsid w:val="00F8289C"/>
    <w:rsid w:val="00F83F8B"/>
    <w:rsid w:val="00F8492E"/>
    <w:rsid w:val="00F9044E"/>
    <w:rsid w:val="00F90900"/>
    <w:rsid w:val="00F91FD9"/>
    <w:rsid w:val="00F94290"/>
    <w:rsid w:val="00F94A7A"/>
    <w:rsid w:val="00F97630"/>
    <w:rsid w:val="00F97AF8"/>
    <w:rsid w:val="00FA0198"/>
    <w:rsid w:val="00FA2819"/>
    <w:rsid w:val="00FA2B63"/>
    <w:rsid w:val="00FA3AE0"/>
    <w:rsid w:val="00FB144B"/>
    <w:rsid w:val="00FB306F"/>
    <w:rsid w:val="00FB30A2"/>
    <w:rsid w:val="00FB677F"/>
    <w:rsid w:val="00FB78D7"/>
    <w:rsid w:val="00FC071C"/>
    <w:rsid w:val="00FC3DC5"/>
    <w:rsid w:val="00FD29C0"/>
    <w:rsid w:val="00FD2E5C"/>
    <w:rsid w:val="00FD3B49"/>
    <w:rsid w:val="00FD54BE"/>
    <w:rsid w:val="00FE0175"/>
    <w:rsid w:val="00FE1104"/>
    <w:rsid w:val="00FE3395"/>
    <w:rsid w:val="00FE4D3D"/>
    <w:rsid w:val="00FF3F89"/>
    <w:rsid w:val="00FF5DE6"/>
    <w:rsid w:val="00FF71A8"/>
    <w:rsid w:val="00FF7809"/>
    <w:rsid w:val="02A228F0"/>
    <w:rsid w:val="059F6242"/>
    <w:rsid w:val="074DC454"/>
    <w:rsid w:val="0A60FCAC"/>
    <w:rsid w:val="0F5FD60D"/>
    <w:rsid w:val="1292FC4C"/>
    <w:rsid w:val="1732995A"/>
    <w:rsid w:val="185CDC0D"/>
    <w:rsid w:val="1C5BAA88"/>
    <w:rsid w:val="20B5EFBB"/>
    <w:rsid w:val="225C7D98"/>
    <w:rsid w:val="2C80D9FA"/>
    <w:rsid w:val="328FDCBF"/>
    <w:rsid w:val="338A9255"/>
    <w:rsid w:val="35B4AC3F"/>
    <w:rsid w:val="360103D4"/>
    <w:rsid w:val="38A3F2CA"/>
    <w:rsid w:val="413736BA"/>
    <w:rsid w:val="464D42BB"/>
    <w:rsid w:val="4882FD05"/>
    <w:rsid w:val="49AE9605"/>
    <w:rsid w:val="4FAC786A"/>
    <w:rsid w:val="521A47F5"/>
    <w:rsid w:val="548D2EBF"/>
    <w:rsid w:val="555C82A7"/>
    <w:rsid w:val="5AFF8CE5"/>
    <w:rsid w:val="5B5B2DD7"/>
    <w:rsid w:val="5E362992"/>
    <w:rsid w:val="71C9701A"/>
    <w:rsid w:val="7D8D0575"/>
    <w:rsid w:val="7F7EF29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36C34"/>
  <w15:docId w15:val="{0D89E0AD-7A3C-4498-8622-90AC8E16B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852"/>
  </w:style>
  <w:style w:type="paragraph" w:styleId="Ttulo1">
    <w:name w:val="heading 1"/>
    <w:basedOn w:val="Default"/>
    <w:link w:val="Ttulo1Car"/>
    <w:uiPriority w:val="9"/>
    <w:qFormat/>
    <w:rsid w:val="00F526AF"/>
    <w:pPr>
      <w:shd w:val="clear" w:color="auto" w:fill="D9D9D9" w:themeFill="background1" w:themeFillShade="D9"/>
      <w:tabs>
        <w:tab w:val="left" w:pos="1413"/>
      </w:tabs>
      <w:outlineLvl w:val="0"/>
    </w:pPr>
    <w:rPr>
      <w:rFonts w:ascii="Arial" w:hAnsi="Arial" w:cs="Arial"/>
      <w:b/>
      <w:color w:val="auto"/>
      <w:szCs w:val="22"/>
      <w:shd w:val="clear" w:color="auto" w:fill="D9D9D9" w:themeFill="background1" w:themeFillShade="D9"/>
    </w:rPr>
  </w:style>
  <w:style w:type="paragraph" w:styleId="Ttulo2">
    <w:name w:val="heading 2"/>
    <w:basedOn w:val="Prrafodelista"/>
    <w:next w:val="Normal"/>
    <w:link w:val="Ttulo2Car"/>
    <w:uiPriority w:val="9"/>
    <w:unhideWhenUsed/>
    <w:qFormat/>
    <w:rsid w:val="00885B19"/>
    <w:pPr>
      <w:spacing w:line="240" w:lineRule="auto"/>
      <w:jc w:val="both"/>
      <w:outlineLvl w:val="1"/>
    </w:pPr>
    <w:rPr>
      <w:b/>
    </w:rPr>
  </w:style>
  <w:style w:type="paragraph" w:styleId="Ttulo3">
    <w:name w:val="heading 3"/>
    <w:basedOn w:val="Prrafodelista"/>
    <w:next w:val="Normal"/>
    <w:link w:val="Ttulo3Car"/>
    <w:uiPriority w:val="9"/>
    <w:unhideWhenUsed/>
    <w:qFormat/>
    <w:rsid w:val="007D0B41"/>
    <w:pPr>
      <w:numPr>
        <w:ilvl w:val="2"/>
        <w:numId w:val="4"/>
      </w:numPr>
      <w:spacing w:line="240" w:lineRule="auto"/>
      <w:jc w:val="both"/>
      <w:outlineLvl w:val="2"/>
    </w:pPr>
    <w:rPr>
      <w:b/>
      <w:color w:val="222222"/>
    </w:rPr>
  </w:style>
  <w:style w:type="paragraph" w:styleId="Ttulo4">
    <w:name w:val="heading 4"/>
    <w:basedOn w:val="Normal"/>
    <w:next w:val="Normal"/>
    <w:link w:val="Ttulo4Car"/>
    <w:uiPriority w:val="9"/>
    <w:semiHidden/>
    <w:unhideWhenUsed/>
    <w:qFormat/>
    <w:rsid w:val="00CC27BE"/>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CC27BE"/>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CC27BE"/>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CC27BE"/>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CC27BE"/>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CC27BE"/>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385196"/>
    <w:pPr>
      <w:spacing w:after="0" w:line="240" w:lineRule="auto"/>
      <w:contextualSpacing/>
      <w:jc w:val="center"/>
    </w:pPr>
    <w:rPr>
      <w:rFonts w:eastAsiaTheme="majorEastAsia" w:cstheme="majorBidi"/>
      <w:spacing w:val="-10"/>
      <w:kern w:val="28"/>
      <w:sz w:val="24"/>
      <w:szCs w:val="56"/>
    </w:rPr>
  </w:style>
  <w:style w:type="table" w:customStyle="1" w:styleId="TableNormal9">
    <w:name w:val="Table Normal9"/>
    <w:tblPr>
      <w:tblCellMar>
        <w:top w:w="0" w:type="dxa"/>
        <w:left w:w="0" w:type="dxa"/>
        <w:bottom w:w="0" w:type="dxa"/>
        <w:right w:w="0" w:type="dxa"/>
      </w:tblCellMar>
    </w:tblPr>
  </w:style>
  <w:style w:type="table" w:customStyle="1" w:styleId="TableNormal8">
    <w:name w:val="Table Normal8"/>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Encabezado">
    <w:name w:val="header"/>
    <w:basedOn w:val="Normal"/>
    <w:link w:val="EncabezadoCar"/>
    <w:uiPriority w:val="99"/>
    <w:unhideWhenUsed/>
    <w:rsid w:val="00CB0CB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B0CB7"/>
  </w:style>
  <w:style w:type="paragraph" w:styleId="Piedepgina">
    <w:name w:val="footer"/>
    <w:basedOn w:val="Normal"/>
    <w:link w:val="PiedepginaCar"/>
    <w:uiPriority w:val="99"/>
    <w:unhideWhenUsed/>
    <w:rsid w:val="00CB0CB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B0CB7"/>
  </w:style>
  <w:style w:type="paragraph" w:styleId="Prrafodelista">
    <w:name w:val="List Paragraph"/>
    <w:aliases w:val="Normal N3,Arial 8,Bullet,Párrafo de lista11,List Paragraph1,Párrafo de lista1,Dot pt,F5 List Paragraph,No Spacing1,List Paragraph Char Char Char,Indicator Text,Colorful List - Accent 11,Numbered Para 1,Bullet 1,Bullet Points,- Bullets"/>
    <w:basedOn w:val="Normal"/>
    <w:link w:val="PrrafodelistaCar"/>
    <w:uiPriority w:val="34"/>
    <w:qFormat/>
    <w:rsid w:val="00B54CB5"/>
    <w:pPr>
      <w:contextualSpacing/>
    </w:pPr>
  </w:style>
  <w:style w:type="paragraph" w:styleId="Textonotaalfinal">
    <w:name w:val="endnote text"/>
    <w:basedOn w:val="Normal"/>
    <w:link w:val="TextonotaalfinalCar"/>
    <w:uiPriority w:val="99"/>
    <w:semiHidden/>
    <w:unhideWhenUsed/>
    <w:rsid w:val="001F116D"/>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F116D"/>
    <w:rPr>
      <w:sz w:val="20"/>
      <w:szCs w:val="20"/>
    </w:rPr>
  </w:style>
  <w:style w:type="character" w:styleId="Refdenotaalfinal">
    <w:name w:val="endnote reference"/>
    <w:basedOn w:val="Fuentedeprrafopredeter"/>
    <w:uiPriority w:val="99"/>
    <w:semiHidden/>
    <w:unhideWhenUsed/>
    <w:rsid w:val="001F116D"/>
    <w:rPr>
      <w:vertAlign w:val="superscript"/>
    </w:rPr>
  </w:style>
  <w:style w:type="character" w:styleId="Hipervnculo">
    <w:name w:val="Hyperlink"/>
    <w:basedOn w:val="Fuentedeprrafopredeter"/>
    <w:uiPriority w:val="99"/>
    <w:unhideWhenUsed/>
    <w:rsid w:val="001F116D"/>
    <w:rPr>
      <w:color w:val="0000FF"/>
      <w:u w:val="single"/>
    </w:rPr>
  </w:style>
  <w:style w:type="paragraph" w:styleId="Textonotapie">
    <w:name w:val="footnote text"/>
    <w:basedOn w:val="Normal"/>
    <w:link w:val="TextonotapieCar"/>
    <w:uiPriority w:val="99"/>
    <w:unhideWhenUsed/>
    <w:rsid w:val="001F116D"/>
    <w:pPr>
      <w:spacing w:after="0" w:line="240" w:lineRule="auto"/>
    </w:pPr>
    <w:rPr>
      <w:sz w:val="20"/>
      <w:szCs w:val="20"/>
    </w:rPr>
  </w:style>
  <w:style w:type="character" w:customStyle="1" w:styleId="TextonotapieCar">
    <w:name w:val="Texto nota pie Car"/>
    <w:basedOn w:val="Fuentedeprrafopredeter"/>
    <w:link w:val="Textonotapie"/>
    <w:uiPriority w:val="99"/>
    <w:rsid w:val="001F116D"/>
    <w:rPr>
      <w:sz w:val="20"/>
      <w:szCs w:val="20"/>
    </w:rPr>
  </w:style>
  <w:style w:type="character" w:styleId="Refdenotaalpie">
    <w:name w:val="footnote reference"/>
    <w:aliases w:val="SUPERS,Footnote reference number,Footnote symbol,note TESI,-E Fußnotenzeichen,number,Nota pie PD,Footnote Reference Superscript,Times 10 Point,Exposant 3 Point,Footnote Reference Number,Footnote Reference_LVL6"/>
    <w:basedOn w:val="Fuentedeprrafopredeter"/>
    <w:uiPriority w:val="99"/>
    <w:unhideWhenUsed/>
    <w:qFormat/>
    <w:rsid w:val="001F116D"/>
    <w:rPr>
      <w:vertAlign w:val="superscript"/>
    </w:rPr>
  </w:style>
  <w:style w:type="paragraph" w:customStyle="1" w:styleId="Default">
    <w:name w:val="Default"/>
    <w:rsid w:val="001A7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rrafodelistaCar">
    <w:name w:val="Párrafo de lista Car"/>
    <w:aliases w:val="Normal N3 Car,Arial 8 Car,Bullet Car,Párrafo de lista11 Car,List Paragraph1 Car,Párrafo de lista1 Car,Dot pt Car,F5 List Paragraph Car,No Spacing1 Car,List Paragraph Char Char Char Car,Indicator Text Car,Numbered Para 1 Car"/>
    <w:link w:val="Prrafodelista"/>
    <w:uiPriority w:val="34"/>
    <w:qFormat/>
    <w:locked/>
    <w:rsid w:val="00B54CB5"/>
    <w:rPr>
      <w:rFonts w:ascii="Arial" w:hAnsi="Arial"/>
    </w:rPr>
  </w:style>
  <w:style w:type="character" w:styleId="Fuerte">
    <w:name w:val="Strong"/>
    <w:basedOn w:val="Fuentedeprrafopredeter"/>
    <w:uiPriority w:val="22"/>
    <w:qFormat/>
    <w:rsid w:val="005C51B9"/>
    <w:rPr>
      <w:b/>
      <w:bCs/>
    </w:rPr>
  </w:style>
  <w:style w:type="paragraph" w:styleId="NormalWeb">
    <w:name w:val="Normal (Web)"/>
    <w:basedOn w:val="Normal"/>
    <w:uiPriority w:val="99"/>
    <w:unhideWhenUsed/>
    <w:rsid w:val="008F4B53"/>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0F614F"/>
    <w:rPr>
      <w:color w:val="800080" w:themeColor="followedHyperlink"/>
      <w:u w:val="single"/>
    </w:rPr>
  </w:style>
  <w:style w:type="paragraph" w:styleId="Sinespaciado">
    <w:name w:val="No Spacing"/>
    <w:basedOn w:val="Normal"/>
    <w:uiPriority w:val="1"/>
    <w:qFormat/>
    <w:rsid w:val="005D6650"/>
    <w:pPr>
      <w:spacing w:before="240"/>
      <w:jc w:val="both"/>
    </w:pPr>
    <w:rPr>
      <w:sz w:val="24"/>
    </w:rPr>
  </w:style>
  <w:style w:type="paragraph" w:styleId="Textosinformato">
    <w:name w:val="Plain Text"/>
    <w:basedOn w:val="Normal"/>
    <w:link w:val="TextosinformatoCar"/>
    <w:uiPriority w:val="99"/>
    <w:unhideWhenUsed/>
    <w:rsid w:val="00317F9C"/>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rsid w:val="00317F9C"/>
    <w:rPr>
      <w:rFonts w:ascii="Calibri" w:hAnsi="Calibri"/>
      <w:szCs w:val="21"/>
    </w:rPr>
  </w:style>
  <w:style w:type="table" w:styleId="Tablaconcuadrcula">
    <w:name w:val="Table Grid"/>
    <w:basedOn w:val="Tablanormal"/>
    <w:uiPriority w:val="59"/>
    <w:rsid w:val="004B71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7D0B41"/>
    <w:rPr>
      <w:rFonts w:ascii="Arial" w:hAnsi="Arial" w:cs="Arial"/>
      <w:b/>
      <w:sz w:val="24"/>
      <w:shd w:val="clear" w:color="auto" w:fill="D9D9D9" w:themeFill="background1" w:themeFillShade="D9"/>
    </w:rPr>
  </w:style>
  <w:style w:type="character" w:customStyle="1" w:styleId="lt-line-clampline">
    <w:name w:val="lt-line-clamp__line"/>
    <w:basedOn w:val="Fuentedeprrafopredeter"/>
    <w:rsid w:val="000C2EC6"/>
  </w:style>
  <w:style w:type="character" w:customStyle="1" w:styleId="Ttulo3Car">
    <w:name w:val="Título 3 Car"/>
    <w:basedOn w:val="Fuentedeprrafopredeter"/>
    <w:link w:val="Ttulo3"/>
    <w:uiPriority w:val="9"/>
    <w:rsid w:val="007D0B41"/>
    <w:rPr>
      <w:b/>
      <w:color w:val="222222"/>
    </w:rPr>
  </w:style>
  <w:style w:type="character" w:customStyle="1" w:styleId="Ttulo2Car">
    <w:name w:val="Título 2 Car"/>
    <w:basedOn w:val="Fuentedeprrafopredeter"/>
    <w:link w:val="Ttulo2"/>
    <w:uiPriority w:val="9"/>
    <w:rsid w:val="007D0B41"/>
    <w:rPr>
      <w:rFonts w:ascii="Arial" w:hAnsi="Arial" w:cs="Arial"/>
      <w:b/>
    </w:rPr>
  </w:style>
  <w:style w:type="paragraph" w:styleId="TtuloTDC">
    <w:name w:val="TOC Heading"/>
    <w:basedOn w:val="Ttulo1"/>
    <w:next w:val="Normal"/>
    <w:uiPriority w:val="39"/>
    <w:unhideWhenUsed/>
    <w:qFormat/>
    <w:rsid w:val="007D0B41"/>
    <w:pPr>
      <w:keepNext/>
      <w:keepLines/>
      <w:shd w:val="clear" w:color="auto" w:fill="auto"/>
      <w:tabs>
        <w:tab w:val="clear" w:pos="1413"/>
      </w:tabs>
      <w:autoSpaceDE/>
      <w:autoSpaceDN/>
      <w:adjustRightInd/>
      <w:spacing w:before="240" w:line="259" w:lineRule="auto"/>
      <w:outlineLvl w:val="9"/>
    </w:pPr>
    <w:rPr>
      <w:rFonts w:asciiTheme="majorHAnsi" w:eastAsiaTheme="majorEastAsia" w:hAnsiTheme="majorHAnsi" w:cstheme="majorBidi"/>
      <w:b w:val="0"/>
      <w:color w:val="365F91" w:themeColor="accent1" w:themeShade="BF"/>
      <w:sz w:val="32"/>
      <w:szCs w:val="32"/>
      <w:shd w:val="clear" w:color="auto" w:fill="auto"/>
    </w:rPr>
  </w:style>
  <w:style w:type="paragraph" w:styleId="TDC1">
    <w:name w:val="toc 1"/>
    <w:basedOn w:val="Normal"/>
    <w:next w:val="Normal"/>
    <w:autoRedefine/>
    <w:uiPriority w:val="39"/>
    <w:unhideWhenUsed/>
    <w:rsid w:val="007D0B41"/>
    <w:pPr>
      <w:spacing w:after="100"/>
    </w:pPr>
  </w:style>
  <w:style w:type="paragraph" w:styleId="TDC2">
    <w:name w:val="toc 2"/>
    <w:basedOn w:val="Normal"/>
    <w:next w:val="Normal"/>
    <w:autoRedefine/>
    <w:uiPriority w:val="39"/>
    <w:unhideWhenUsed/>
    <w:rsid w:val="007D0B41"/>
    <w:pPr>
      <w:spacing w:after="100"/>
      <w:ind w:left="220"/>
    </w:pPr>
  </w:style>
  <w:style w:type="paragraph" w:styleId="TDC3">
    <w:name w:val="toc 3"/>
    <w:basedOn w:val="Normal"/>
    <w:next w:val="Normal"/>
    <w:autoRedefine/>
    <w:uiPriority w:val="39"/>
    <w:unhideWhenUsed/>
    <w:rsid w:val="007D0B41"/>
    <w:pPr>
      <w:spacing w:after="100"/>
      <w:ind w:left="440"/>
    </w:pPr>
  </w:style>
  <w:style w:type="paragraph" w:styleId="Textodeglobo">
    <w:name w:val="Balloon Text"/>
    <w:basedOn w:val="Normal"/>
    <w:link w:val="TextodegloboCar"/>
    <w:uiPriority w:val="99"/>
    <w:semiHidden/>
    <w:unhideWhenUsed/>
    <w:rsid w:val="006120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20EF"/>
    <w:rPr>
      <w:rFonts w:ascii="Segoe UI" w:hAnsi="Segoe UI" w:cs="Segoe UI"/>
      <w:sz w:val="18"/>
      <w:szCs w:val="18"/>
    </w:rPr>
  </w:style>
  <w:style w:type="character" w:customStyle="1" w:styleId="Ttulo4Car">
    <w:name w:val="Título 4 Car"/>
    <w:basedOn w:val="Fuentedeprrafopredeter"/>
    <w:link w:val="Ttulo4"/>
    <w:uiPriority w:val="9"/>
    <w:semiHidden/>
    <w:rsid w:val="00CC27BE"/>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semiHidden/>
    <w:rsid w:val="00CC27BE"/>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semiHidden/>
    <w:rsid w:val="00CC27BE"/>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semiHidden/>
    <w:rsid w:val="00CC27BE"/>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semiHidden/>
    <w:rsid w:val="00CC27B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CC27BE"/>
    <w:rPr>
      <w:rFonts w:asciiTheme="majorHAnsi" w:eastAsiaTheme="majorEastAsia" w:hAnsiTheme="majorHAnsi" w:cstheme="majorBidi"/>
      <w:i/>
      <w:iCs/>
      <w:color w:val="272727" w:themeColor="text1" w:themeTint="D8"/>
      <w:sz w:val="21"/>
      <w:szCs w:val="21"/>
    </w:rPr>
  </w:style>
  <w:style w:type="character" w:customStyle="1" w:styleId="TtuloCar">
    <w:name w:val="Título Car"/>
    <w:basedOn w:val="Fuentedeprrafopredeter"/>
    <w:link w:val="Ttulo"/>
    <w:uiPriority w:val="10"/>
    <w:rsid w:val="00385196"/>
    <w:rPr>
      <w:rFonts w:ascii="Arial" w:eastAsiaTheme="majorEastAsia" w:hAnsi="Arial" w:cstheme="majorBidi"/>
      <w:spacing w:val="-10"/>
      <w:kern w:val="28"/>
      <w:sz w:val="24"/>
      <w:szCs w:val="56"/>
    </w:rPr>
  </w:style>
  <w:style w:type="paragraph" w:customStyle="1" w:styleId="has-text-align-left">
    <w:name w:val="has-text-align-left"/>
    <w:basedOn w:val="Normal"/>
    <w:rsid w:val="00F51D7C"/>
    <w:pPr>
      <w:spacing w:before="100" w:beforeAutospacing="1" w:after="100" w:afterAutospacing="1" w:line="240" w:lineRule="auto"/>
    </w:pPr>
    <w:rPr>
      <w:rFonts w:ascii="Times New Roman" w:eastAsia="Times New Roman" w:hAnsi="Times New Roman" w:cs="Times New Roman"/>
      <w:sz w:val="24"/>
      <w:szCs w:val="24"/>
    </w:rPr>
  </w:style>
  <w:style w:type="character" w:styleId="nfasis">
    <w:name w:val="Emphasis"/>
    <w:basedOn w:val="Fuentedeprrafopredeter"/>
    <w:uiPriority w:val="20"/>
    <w:qFormat/>
    <w:rsid w:val="00F51D7C"/>
    <w:rPr>
      <w:i/>
      <w:iC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0">
    <w:name w:val="10"/>
    <w:basedOn w:val="TableNormal1"/>
    <w:tblPr>
      <w:tblStyleRowBandSize w:val="1"/>
      <w:tblStyleColBandSize w:val="1"/>
      <w:tblCellMar>
        <w:left w:w="115" w:type="dxa"/>
        <w:right w:w="115"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tblPr>
      <w:tblStyleRowBandSize w:val="1"/>
      <w:tblStyleColBandSize w:val="1"/>
      <w:tblCellMar>
        <w:left w:w="115" w:type="dxa"/>
        <w:right w:w="115" w:type="dxa"/>
      </w:tblCellMar>
    </w:tblPr>
  </w:style>
  <w:style w:type="table" w:customStyle="1" w:styleId="7">
    <w:name w:val="7"/>
    <w:basedOn w:val="TableNormal3"/>
    <w:tblPr>
      <w:tblStyleRowBandSize w:val="1"/>
      <w:tblStyleColBandSize w:val="1"/>
      <w:tblCellMar>
        <w:left w:w="115" w:type="dxa"/>
        <w:right w:w="115" w:type="dxa"/>
      </w:tblCellMar>
    </w:tblPr>
  </w:style>
  <w:style w:type="table" w:customStyle="1" w:styleId="6">
    <w:name w:val="6"/>
    <w:basedOn w:val="TableNormal3"/>
    <w:tblPr>
      <w:tblStyleRowBandSize w:val="1"/>
      <w:tblStyleColBandSize w:val="1"/>
      <w:tblCellMar>
        <w:left w:w="115" w:type="dxa"/>
        <w:right w:w="115" w:type="dxa"/>
      </w:tblCellMar>
    </w:tblPr>
  </w:style>
  <w:style w:type="table" w:customStyle="1" w:styleId="5">
    <w:name w:val="5"/>
    <w:basedOn w:val="TableNormal3"/>
    <w:tblPr>
      <w:tblStyleRowBandSize w:val="1"/>
      <w:tblStyleColBandSize w:val="1"/>
      <w:tblCellMar>
        <w:left w:w="115" w:type="dxa"/>
        <w:right w:w="115" w:type="dxa"/>
      </w:tblCellMar>
    </w:tblPr>
  </w:style>
  <w:style w:type="table" w:customStyle="1" w:styleId="4">
    <w:name w:val="4"/>
    <w:basedOn w:val="TableNormal3"/>
    <w:tblPr>
      <w:tblStyleRowBandSize w:val="1"/>
      <w:tblStyleColBandSize w:val="1"/>
      <w:tblCellMar>
        <w:left w:w="115" w:type="dxa"/>
        <w:right w:w="115" w:type="dxa"/>
      </w:tblCellMar>
    </w:tblPr>
  </w:style>
  <w:style w:type="table" w:customStyle="1" w:styleId="3">
    <w:name w:val="3"/>
    <w:basedOn w:val="TableNormal7"/>
    <w:tblPr>
      <w:tblStyleRowBandSize w:val="1"/>
      <w:tblStyleColBandSize w:val="1"/>
      <w:tblCellMar>
        <w:left w:w="115" w:type="dxa"/>
        <w:right w:w="115" w:type="dxa"/>
      </w:tblCellMar>
    </w:tblPr>
  </w:style>
  <w:style w:type="table" w:customStyle="1" w:styleId="2">
    <w:name w:val="2"/>
    <w:basedOn w:val="TableNormal7"/>
    <w:tblPr>
      <w:tblStyleRowBandSize w:val="1"/>
      <w:tblStyleColBandSize w:val="1"/>
      <w:tblCellMar>
        <w:left w:w="115" w:type="dxa"/>
        <w:right w:w="115" w:type="dxa"/>
      </w:tblCellMar>
    </w:tblPr>
  </w:style>
  <w:style w:type="table" w:customStyle="1" w:styleId="1">
    <w:name w:val="1"/>
    <w:basedOn w:val="TableNormal7"/>
    <w:tblPr>
      <w:tblStyleRowBandSize w:val="1"/>
      <w:tblStyleColBandSize w:val="1"/>
      <w:tblCellMar>
        <w:left w:w="115" w:type="dxa"/>
        <w:right w:w="115" w:type="dxa"/>
      </w:tblCellMar>
    </w:tblPr>
  </w:style>
  <w:style w:type="paragraph" w:customStyle="1" w:styleId="parrafo">
    <w:name w:val="parrafo"/>
    <w:basedOn w:val="Normal"/>
    <w:rsid w:val="00964262"/>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ario">
    <w:name w:val="annotation reference"/>
    <w:basedOn w:val="Fuentedeprrafopredeter"/>
    <w:uiPriority w:val="99"/>
    <w:semiHidden/>
    <w:unhideWhenUsed/>
    <w:rsid w:val="003A46FC"/>
    <w:rPr>
      <w:sz w:val="16"/>
      <w:szCs w:val="16"/>
    </w:rPr>
  </w:style>
  <w:style w:type="paragraph" w:styleId="Textocomentario">
    <w:name w:val="annotation text"/>
    <w:basedOn w:val="Normal"/>
    <w:link w:val="TextocomentarioCar"/>
    <w:uiPriority w:val="99"/>
    <w:unhideWhenUsed/>
    <w:rsid w:val="003A46FC"/>
    <w:pPr>
      <w:spacing w:line="240" w:lineRule="auto"/>
    </w:pPr>
    <w:rPr>
      <w:sz w:val="20"/>
      <w:szCs w:val="20"/>
    </w:rPr>
  </w:style>
  <w:style w:type="character" w:customStyle="1" w:styleId="TextocomentarioCar">
    <w:name w:val="Texto comentario Car"/>
    <w:basedOn w:val="Fuentedeprrafopredeter"/>
    <w:link w:val="Textocomentario"/>
    <w:uiPriority w:val="99"/>
    <w:rsid w:val="003A46FC"/>
    <w:rPr>
      <w:sz w:val="20"/>
      <w:szCs w:val="20"/>
    </w:rPr>
  </w:style>
  <w:style w:type="paragraph" w:styleId="Asuntodelcomentario">
    <w:name w:val="annotation subject"/>
    <w:basedOn w:val="Textocomentario"/>
    <w:next w:val="Textocomentario"/>
    <w:link w:val="AsuntodelcomentarioCar"/>
    <w:uiPriority w:val="99"/>
    <w:semiHidden/>
    <w:unhideWhenUsed/>
    <w:rsid w:val="003A46FC"/>
    <w:rPr>
      <w:b/>
      <w:bCs/>
    </w:rPr>
  </w:style>
  <w:style w:type="character" w:customStyle="1" w:styleId="AsuntodelcomentarioCar">
    <w:name w:val="Asunto del comentario Car"/>
    <w:basedOn w:val="TextocomentarioCar"/>
    <w:link w:val="Asuntodelcomentario"/>
    <w:uiPriority w:val="99"/>
    <w:semiHidden/>
    <w:rsid w:val="003A46FC"/>
    <w:rPr>
      <w:b/>
      <w:bCs/>
      <w:sz w:val="20"/>
      <w:szCs w:val="20"/>
    </w:rPr>
  </w:style>
  <w:style w:type="table" w:customStyle="1" w:styleId="TableGrid">
    <w:name w:val="TableGrid"/>
    <w:rsid w:val="0094431C"/>
    <w:pPr>
      <w:spacing w:after="0" w:line="240" w:lineRule="auto"/>
    </w:pPr>
    <w:rPr>
      <w:rFonts w:ascii="Calibri" w:eastAsia="Yu Mincho" w:hAnsi="Calibri"/>
      <w:kern w:val="2"/>
      <w:sz w:val="24"/>
      <w:szCs w:val="24"/>
      <w14:ligatures w14:val="standardContextual"/>
    </w:rPr>
    <w:tblPr>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EF14F5"/>
    <w:pPr>
      <w:spacing w:after="0" w:line="240" w:lineRule="auto"/>
    </w:pPr>
    <w:rPr>
      <w:rFonts w:ascii="Aptos" w:eastAsia="Aptos" w:hAnsi="Aptos" w:cs="Times New Roman"/>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500169">
      <w:bodyDiv w:val="1"/>
      <w:marLeft w:val="0"/>
      <w:marRight w:val="0"/>
      <w:marTop w:val="0"/>
      <w:marBottom w:val="0"/>
      <w:divBdr>
        <w:top w:val="none" w:sz="0" w:space="0" w:color="auto"/>
        <w:left w:val="none" w:sz="0" w:space="0" w:color="auto"/>
        <w:bottom w:val="none" w:sz="0" w:space="0" w:color="auto"/>
        <w:right w:val="none" w:sz="0" w:space="0" w:color="auto"/>
      </w:divBdr>
    </w:div>
    <w:div w:id="564802830">
      <w:bodyDiv w:val="1"/>
      <w:marLeft w:val="0"/>
      <w:marRight w:val="0"/>
      <w:marTop w:val="0"/>
      <w:marBottom w:val="0"/>
      <w:divBdr>
        <w:top w:val="none" w:sz="0" w:space="0" w:color="auto"/>
        <w:left w:val="none" w:sz="0" w:space="0" w:color="auto"/>
        <w:bottom w:val="none" w:sz="0" w:space="0" w:color="auto"/>
        <w:right w:val="none" w:sz="0" w:space="0" w:color="auto"/>
      </w:divBdr>
    </w:div>
    <w:div w:id="658190894">
      <w:bodyDiv w:val="1"/>
      <w:marLeft w:val="0"/>
      <w:marRight w:val="0"/>
      <w:marTop w:val="0"/>
      <w:marBottom w:val="0"/>
      <w:divBdr>
        <w:top w:val="none" w:sz="0" w:space="0" w:color="auto"/>
        <w:left w:val="none" w:sz="0" w:space="0" w:color="auto"/>
        <w:bottom w:val="none" w:sz="0" w:space="0" w:color="auto"/>
        <w:right w:val="none" w:sz="0" w:space="0" w:color="auto"/>
      </w:divBdr>
    </w:div>
    <w:div w:id="721707677">
      <w:bodyDiv w:val="1"/>
      <w:marLeft w:val="0"/>
      <w:marRight w:val="0"/>
      <w:marTop w:val="0"/>
      <w:marBottom w:val="0"/>
      <w:divBdr>
        <w:top w:val="none" w:sz="0" w:space="0" w:color="auto"/>
        <w:left w:val="none" w:sz="0" w:space="0" w:color="auto"/>
        <w:bottom w:val="none" w:sz="0" w:space="0" w:color="auto"/>
        <w:right w:val="none" w:sz="0" w:space="0" w:color="auto"/>
      </w:divBdr>
    </w:div>
    <w:div w:id="767382856">
      <w:bodyDiv w:val="1"/>
      <w:marLeft w:val="0"/>
      <w:marRight w:val="0"/>
      <w:marTop w:val="0"/>
      <w:marBottom w:val="0"/>
      <w:divBdr>
        <w:top w:val="none" w:sz="0" w:space="0" w:color="auto"/>
        <w:left w:val="none" w:sz="0" w:space="0" w:color="auto"/>
        <w:bottom w:val="none" w:sz="0" w:space="0" w:color="auto"/>
        <w:right w:val="none" w:sz="0" w:space="0" w:color="auto"/>
      </w:divBdr>
    </w:div>
    <w:div w:id="808673196">
      <w:bodyDiv w:val="1"/>
      <w:marLeft w:val="0"/>
      <w:marRight w:val="0"/>
      <w:marTop w:val="0"/>
      <w:marBottom w:val="0"/>
      <w:divBdr>
        <w:top w:val="none" w:sz="0" w:space="0" w:color="auto"/>
        <w:left w:val="none" w:sz="0" w:space="0" w:color="auto"/>
        <w:bottom w:val="none" w:sz="0" w:space="0" w:color="auto"/>
        <w:right w:val="none" w:sz="0" w:space="0" w:color="auto"/>
      </w:divBdr>
    </w:div>
    <w:div w:id="848521675">
      <w:bodyDiv w:val="1"/>
      <w:marLeft w:val="0"/>
      <w:marRight w:val="0"/>
      <w:marTop w:val="0"/>
      <w:marBottom w:val="0"/>
      <w:divBdr>
        <w:top w:val="none" w:sz="0" w:space="0" w:color="auto"/>
        <w:left w:val="none" w:sz="0" w:space="0" w:color="auto"/>
        <w:bottom w:val="none" w:sz="0" w:space="0" w:color="auto"/>
        <w:right w:val="none" w:sz="0" w:space="0" w:color="auto"/>
      </w:divBdr>
    </w:div>
    <w:div w:id="935361063">
      <w:bodyDiv w:val="1"/>
      <w:marLeft w:val="0"/>
      <w:marRight w:val="0"/>
      <w:marTop w:val="0"/>
      <w:marBottom w:val="0"/>
      <w:divBdr>
        <w:top w:val="none" w:sz="0" w:space="0" w:color="auto"/>
        <w:left w:val="none" w:sz="0" w:space="0" w:color="auto"/>
        <w:bottom w:val="none" w:sz="0" w:space="0" w:color="auto"/>
        <w:right w:val="none" w:sz="0" w:space="0" w:color="auto"/>
      </w:divBdr>
    </w:div>
    <w:div w:id="1345939660">
      <w:bodyDiv w:val="1"/>
      <w:marLeft w:val="0"/>
      <w:marRight w:val="0"/>
      <w:marTop w:val="0"/>
      <w:marBottom w:val="0"/>
      <w:divBdr>
        <w:top w:val="none" w:sz="0" w:space="0" w:color="auto"/>
        <w:left w:val="none" w:sz="0" w:space="0" w:color="auto"/>
        <w:bottom w:val="none" w:sz="0" w:space="0" w:color="auto"/>
        <w:right w:val="none" w:sz="0" w:space="0" w:color="auto"/>
      </w:divBdr>
    </w:div>
    <w:div w:id="1421180333">
      <w:bodyDiv w:val="1"/>
      <w:marLeft w:val="0"/>
      <w:marRight w:val="0"/>
      <w:marTop w:val="0"/>
      <w:marBottom w:val="0"/>
      <w:divBdr>
        <w:top w:val="none" w:sz="0" w:space="0" w:color="auto"/>
        <w:left w:val="none" w:sz="0" w:space="0" w:color="auto"/>
        <w:bottom w:val="none" w:sz="0" w:space="0" w:color="auto"/>
        <w:right w:val="none" w:sz="0" w:space="0" w:color="auto"/>
      </w:divBdr>
    </w:div>
    <w:div w:id="1698190344">
      <w:bodyDiv w:val="1"/>
      <w:marLeft w:val="0"/>
      <w:marRight w:val="0"/>
      <w:marTop w:val="0"/>
      <w:marBottom w:val="0"/>
      <w:divBdr>
        <w:top w:val="none" w:sz="0" w:space="0" w:color="auto"/>
        <w:left w:val="none" w:sz="0" w:space="0" w:color="auto"/>
        <w:bottom w:val="none" w:sz="0" w:space="0" w:color="auto"/>
        <w:right w:val="none" w:sz="0" w:space="0" w:color="auto"/>
      </w:divBdr>
    </w:div>
    <w:div w:id="1818380221">
      <w:bodyDiv w:val="1"/>
      <w:marLeft w:val="0"/>
      <w:marRight w:val="0"/>
      <w:marTop w:val="0"/>
      <w:marBottom w:val="0"/>
      <w:divBdr>
        <w:top w:val="none" w:sz="0" w:space="0" w:color="auto"/>
        <w:left w:val="none" w:sz="0" w:space="0" w:color="auto"/>
        <w:bottom w:val="none" w:sz="0" w:space="0" w:color="auto"/>
        <w:right w:val="none" w:sz="0" w:space="0" w:color="auto"/>
      </w:divBdr>
    </w:div>
    <w:div w:id="1864971565">
      <w:bodyDiv w:val="1"/>
      <w:marLeft w:val="0"/>
      <w:marRight w:val="0"/>
      <w:marTop w:val="0"/>
      <w:marBottom w:val="0"/>
      <w:divBdr>
        <w:top w:val="none" w:sz="0" w:space="0" w:color="auto"/>
        <w:left w:val="none" w:sz="0" w:space="0" w:color="auto"/>
        <w:bottom w:val="none" w:sz="0" w:space="0" w:color="auto"/>
        <w:right w:val="none" w:sz="0" w:space="0" w:color="auto"/>
      </w:divBdr>
    </w:div>
    <w:div w:id="2055806363">
      <w:bodyDiv w:val="1"/>
      <w:marLeft w:val="0"/>
      <w:marRight w:val="0"/>
      <w:marTop w:val="0"/>
      <w:marBottom w:val="0"/>
      <w:divBdr>
        <w:top w:val="none" w:sz="0" w:space="0" w:color="auto"/>
        <w:left w:val="none" w:sz="0" w:space="0" w:color="auto"/>
        <w:bottom w:val="none" w:sz="0" w:space="0" w:color="auto"/>
        <w:right w:val="none" w:sz="0" w:space="0" w:color="auto"/>
      </w:divBdr>
    </w:div>
    <w:div w:id="2107849840">
      <w:bodyDiv w:val="1"/>
      <w:marLeft w:val="0"/>
      <w:marRight w:val="0"/>
      <w:marTop w:val="0"/>
      <w:marBottom w:val="0"/>
      <w:divBdr>
        <w:top w:val="none" w:sz="0" w:space="0" w:color="auto"/>
        <w:left w:val="none" w:sz="0" w:space="0" w:color="auto"/>
        <w:bottom w:val="none" w:sz="0" w:space="0" w:color="auto"/>
        <w:right w:val="none" w:sz="0" w:space="0" w:color="auto"/>
      </w:divBdr>
    </w:div>
    <w:div w:id="2141485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NiddCDcVw9my6q2Uz5kCOrDyA==">CgMxLjAyDmguM3RhOWF5cmFlYm9iOAByITE1THRnZC1KMUctYTVVZENxUkdzRW13d0NWVDdRclhjUQ==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B64CA6-136E-4C20-B18F-48C3A9675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736</TotalTime>
  <Pages>25</Pages>
  <Words>10463</Words>
  <Characters>56919</Characters>
  <Application>Microsoft Office Word</Application>
  <DocSecurity>0</DocSecurity>
  <Lines>1034</Lines>
  <Paragraphs>311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MARIA FERNANDEZ LACASA</dc:creator>
  <cp:keywords/>
  <dc:description/>
  <cp:lastModifiedBy>JOSE MARIA FERNANDEZ LACASA</cp:lastModifiedBy>
  <cp:revision>139</cp:revision>
  <cp:lastPrinted>2025-11-03T04:02:00Z</cp:lastPrinted>
  <dcterms:created xsi:type="dcterms:W3CDTF">2025-11-03T04:18:00Z</dcterms:created>
  <dcterms:modified xsi:type="dcterms:W3CDTF">2026-09-30T11:51:00Z</dcterms:modified>
</cp:coreProperties>
</file>