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header1.xml" ContentType="application/vnd.openxmlformats-officedocument.wordprocessingml.header+xml"/>
  <Override PartName="/word/endnotes.xml" ContentType="application/vnd.openxmlformats-officedocument.wordprocessingml.endnotes+xml"/>
  <Override PartName="/word/footnotes.xml" ContentType="application/vnd.openxmlformats-officedocument.wordprocessingml.footnotes+xml"/>
  <Override PartName="/word/footer1.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fontTable.xml" ContentType="application/vnd.openxmlformats-officedocument.wordprocessingml.fontTable+xml"/>
  <Override PartName="/word/webSettings.xml" ContentType="application/vnd.openxmlformats-officedocument.wordprocessingml.webSettings+xml"/>
  <Override PartName="/word/numbering.xml" ContentType="application/vnd.openxmlformats-officedocument.wordprocessingml.numbering+xml"/>
  <Override PartName="/customXml/itemProps3.xml" ContentType="application/vnd.openxmlformats-officedocument.customXmlProperties+xml"/>
  <Override PartName="/customXml/itemProps2.xml" ContentType="application/vnd.openxmlformats-officedocument.customXmlProperties+xml"/>
  <Override PartName="/customXml/itemProps4.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28D27D0" w14:textId="77777777" w:rsidR="006545C7" w:rsidRPr="00A8736B" w:rsidRDefault="006545C7" w:rsidP="00A841DB">
      <w:pPr>
        <w:jc w:val="center"/>
        <w:rPr>
          <w:rFonts w:asciiTheme="minorHAnsi" w:eastAsia="Arial" w:hAnsiTheme="minorHAnsi" w:cs="Arial"/>
          <w:b/>
          <w:caps/>
          <w:color w:val="000000"/>
          <w:sz w:val="22"/>
          <w:szCs w:val="22"/>
        </w:rPr>
      </w:pPr>
      <w:r w:rsidRPr="00A8736B">
        <w:rPr>
          <w:rFonts w:asciiTheme="minorHAnsi" w:eastAsia="Arial" w:hAnsiTheme="minorHAnsi" w:cs="Arial"/>
          <w:b/>
          <w:color w:val="000000"/>
          <w:sz w:val="22"/>
          <w:szCs w:val="22"/>
        </w:rPr>
        <w:t>DECLARACIÓN RESPONSABLE DEL CUMPLIMIENTO DEL PRINCIPIO DE «NO CAUSAR PERJUICIO SIGNIFICATIVO» A LOS SEIS OBJETIVOS MEDIOAMBIENTALES EN EL SENTIDO DEL ARTÍCULO 17 DEL REGLAMENTO (UE) 2020/852</w:t>
      </w:r>
      <w:r w:rsidRPr="00A8736B">
        <w:rPr>
          <w:rStyle w:val="Refdenotaalpie"/>
          <w:rFonts w:asciiTheme="minorHAnsi" w:eastAsia="Arial" w:hAnsiTheme="minorHAnsi" w:cs="Arial"/>
          <w:b/>
          <w:color w:val="000000"/>
          <w:sz w:val="22"/>
          <w:szCs w:val="22"/>
        </w:rPr>
        <w:footnoteReference w:id="2"/>
      </w:r>
      <w:r w:rsidRPr="00A8736B">
        <w:rPr>
          <w:rFonts w:asciiTheme="minorHAnsi" w:eastAsia="Arial" w:hAnsiTheme="minorHAnsi" w:cs="Arial"/>
          <w:b/>
          <w:color w:val="000000"/>
          <w:sz w:val="22"/>
          <w:szCs w:val="22"/>
        </w:rPr>
        <w:t xml:space="preserve"> </w:t>
      </w:r>
      <w:r w:rsidRPr="00A8736B">
        <w:rPr>
          <w:rFonts w:asciiTheme="minorHAnsi" w:eastAsia="Arial" w:hAnsiTheme="minorHAnsi" w:cs="Arial"/>
          <w:b/>
          <w:caps/>
          <w:color w:val="000000"/>
          <w:sz w:val="22"/>
          <w:szCs w:val="22"/>
        </w:rPr>
        <w:t>En Las Actividades Financiadas, En Todas Las Fases Del Diseño Y Ejecución Del Proyecto.</w:t>
      </w:r>
    </w:p>
    <w:p w14:paraId="5C3D3173" w14:textId="77777777" w:rsidR="006545C7" w:rsidRPr="00A8736B" w:rsidRDefault="006545C7" w:rsidP="006545C7">
      <w:pPr>
        <w:autoSpaceDE w:val="0"/>
        <w:autoSpaceDN w:val="0"/>
        <w:adjustRightInd w:val="0"/>
        <w:rPr>
          <w:rFonts w:asciiTheme="minorHAnsi" w:eastAsiaTheme="minorHAnsi" w:hAnsiTheme="minorHAnsi" w:cs="Arial"/>
          <w:b/>
          <w:bCs/>
          <w:color w:val="FFFFFF"/>
          <w:sz w:val="22"/>
          <w:szCs w:val="22"/>
        </w:rPr>
      </w:pPr>
      <w:r w:rsidRPr="00A8736B">
        <w:rPr>
          <w:rFonts w:asciiTheme="minorHAnsi" w:eastAsiaTheme="minorHAnsi" w:hAnsiTheme="minorHAnsi" w:cs="Arial"/>
          <w:b/>
          <w:bCs/>
          <w:color w:val="FFFFFF"/>
          <w:sz w:val="22"/>
          <w:szCs w:val="22"/>
        </w:rPr>
        <w:t>Información sobre la actuación en el Plan de Recuperación,</w:t>
      </w:r>
    </w:p>
    <w:tbl>
      <w:tblPr>
        <w:tblW w:w="8647" w:type="dxa"/>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000" w:firstRow="0" w:lastRow="0" w:firstColumn="0" w:lastColumn="0" w:noHBand="0" w:noVBand="0"/>
      </w:tblPr>
      <w:tblGrid>
        <w:gridCol w:w="3261"/>
        <w:gridCol w:w="5386"/>
      </w:tblGrid>
      <w:tr w:rsidR="006545C7" w:rsidRPr="00A8736B" w14:paraId="3427110D" w14:textId="77777777" w:rsidTr="0066054C">
        <w:trPr>
          <w:trHeight w:val="260"/>
        </w:trPr>
        <w:tc>
          <w:tcPr>
            <w:tcW w:w="3261" w:type="dxa"/>
            <w:tcMar>
              <w:top w:w="40" w:type="dxa"/>
              <w:left w:w="40" w:type="dxa"/>
              <w:bottom w:w="40" w:type="dxa"/>
              <w:right w:w="40" w:type="dxa"/>
            </w:tcMar>
            <w:vAlign w:val="center"/>
          </w:tcPr>
          <w:p w14:paraId="58410873" w14:textId="77777777" w:rsidR="006545C7" w:rsidRPr="00A8736B" w:rsidRDefault="006545C7" w:rsidP="0066054C">
            <w:pPr>
              <w:spacing w:before="40" w:after="40"/>
              <w:rPr>
                <w:rFonts w:asciiTheme="minorHAnsi" w:hAnsiTheme="minorHAnsi" w:cs="Arial"/>
                <w:b/>
                <w:sz w:val="22"/>
                <w:szCs w:val="22"/>
              </w:rPr>
            </w:pPr>
            <w:r w:rsidRPr="00A8736B">
              <w:rPr>
                <w:rFonts w:asciiTheme="minorHAnsi" w:eastAsia="Arial" w:hAnsiTheme="minorHAnsi" w:cs="Arial"/>
                <w:b/>
                <w:color w:val="000000"/>
                <w:sz w:val="22"/>
                <w:szCs w:val="22"/>
              </w:rPr>
              <w:t>Identificación de la actuación</w:t>
            </w:r>
          </w:p>
        </w:tc>
        <w:tc>
          <w:tcPr>
            <w:tcW w:w="5386" w:type="dxa"/>
            <w:tcMar>
              <w:top w:w="40" w:type="dxa"/>
              <w:left w:w="40" w:type="dxa"/>
              <w:bottom w:w="40" w:type="dxa"/>
              <w:right w:w="40" w:type="dxa"/>
            </w:tcMar>
            <w:vAlign w:val="center"/>
          </w:tcPr>
          <w:p w14:paraId="51EE0AF4" w14:textId="41B16651" w:rsidR="006545C7" w:rsidRPr="00A8736B" w:rsidRDefault="006545C7" w:rsidP="00A841DB">
            <w:pPr>
              <w:autoSpaceDE w:val="0"/>
              <w:autoSpaceDN w:val="0"/>
              <w:adjustRightInd w:val="0"/>
              <w:spacing w:before="40" w:after="40"/>
              <w:rPr>
                <w:rFonts w:asciiTheme="minorHAnsi" w:eastAsiaTheme="minorHAnsi" w:hAnsiTheme="minorHAnsi" w:cs="Arial"/>
                <w:bCs/>
                <w:i/>
                <w:iCs/>
                <w:sz w:val="22"/>
                <w:szCs w:val="22"/>
              </w:rPr>
            </w:pPr>
            <w:r w:rsidRPr="00A8736B">
              <w:rPr>
                <w:rFonts w:asciiTheme="minorHAnsi" w:eastAsiaTheme="minorHAnsi" w:hAnsiTheme="minorHAnsi" w:cs="Arial"/>
                <w:bCs/>
                <w:i/>
                <w:iCs/>
                <w:sz w:val="22"/>
                <w:szCs w:val="22"/>
              </w:rPr>
              <w:t xml:space="preserve">Concesión de ayudas para la financiación de proyectos tractores 5G de Digitalización Sectorial, </w:t>
            </w:r>
            <w:r w:rsidRPr="00A8736B">
              <w:rPr>
                <w:rFonts w:asciiTheme="minorHAnsi" w:eastAsiaTheme="minorHAnsi" w:hAnsiTheme="minorHAnsi" w:cs="Arial"/>
                <w:bCs/>
                <w:i/>
                <w:iCs/>
                <w:sz w:val="22"/>
                <w:szCs w:val="22"/>
                <w:lang w:val="es"/>
              </w:rPr>
              <w:t xml:space="preserve">del “Programa UNICO Sectorial </w:t>
            </w:r>
            <w:r w:rsidR="00FB5F91" w:rsidRPr="00FB5F91">
              <w:rPr>
                <w:rFonts w:asciiTheme="minorHAnsi" w:eastAsiaTheme="minorHAnsi" w:hAnsiTheme="minorHAnsi" w:cs="Arial"/>
                <w:bCs/>
                <w:i/>
                <w:iCs/>
                <w:sz w:val="22"/>
                <w:szCs w:val="22"/>
                <w:lang w:val="es"/>
              </w:rPr>
              <w:t>2023 – Segunda Convocatoria</w:t>
            </w:r>
            <w:bookmarkStart w:id="0" w:name="_GoBack"/>
            <w:bookmarkEnd w:id="0"/>
            <w:r w:rsidRPr="00A8736B">
              <w:rPr>
                <w:rFonts w:asciiTheme="minorHAnsi" w:eastAsiaTheme="minorHAnsi" w:hAnsiTheme="minorHAnsi" w:cs="Arial"/>
                <w:bCs/>
                <w:i/>
                <w:iCs/>
                <w:sz w:val="22"/>
                <w:szCs w:val="22"/>
              </w:rPr>
              <w:t>, en el marco del Plan de Recuperación, Transformación y Resiliencia</w:t>
            </w:r>
          </w:p>
        </w:tc>
      </w:tr>
      <w:tr w:rsidR="006545C7" w:rsidRPr="00A8736B" w14:paraId="3340AE5F" w14:textId="77777777" w:rsidTr="0066054C">
        <w:trPr>
          <w:trHeight w:val="260"/>
        </w:trPr>
        <w:tc>
          <w:tcPr>
            <w:tcW w:w="3261" w:type="dxa"/>
            <w:tcMar>
              <w:top w:w="40" w:type="dxa"/>
              <w:left w:w="40" w:type="dxa"/>
              <w:bottom w:w="40" w:type="dxa"/>
              <w:right w:w="40" w:type="dxa"/>
            </w:tcMar>
            <w:vAlign w:val="center"/>
          </w:tcPr>
          <w:p w14:paraId="59C5F477" w14:textId="77777777" w:rsidR="006545C7" w:rsidRPr="00A8736B" w:rsidRDefault="006545C7" w:rsidP="0066054C">
            <w:pPr>
              <w:autoSpaceDE w:val="0"/>
              <w:autoSpaceDN w:val="0"/>
              <w:adjustRightInd w:val="0"/>
              <w:spacing w:before="40" w:after="40"/>
              <w:rPr>
                <w:rFonts w:asciiTheme="minorHAnsi" w:eastAsiaTheme="minorHAnsi" w:hAnsiTheme="minorHAnsi" w:cs="Arial"/>
                <w:b/>
                <w:sz w:val="22"/>
                <w:szCs w:val="22"/>
              </w:rPr>
            </w:pPr>
            <w:r w:rsidRPr="00A8736B">
              <w:rPr>
                <w:rFonts w:asciiTheme="minorHAnsi" w:eastAsiaTheme="minorHAnsi" w:hAnsiTheme="minorHAnsi" w:cs="Arial"/>
                <w:b/>
                <w:sz w:val="22"/>
                <w:szCs w:val="22"/>
              </w:rPr>
              <w:t>Componente del PRTR al que pertenece la actividad</w:t>
            </w:r>
          </w:p>
        </w:tc>
        <w:tc>
          <w:tcPr>
            <w:tcW w:w="5386" w:type="dxa"/>
            <w:tcMar>
              <w:top w:w="40" w:type="dxa"/>
              <w:left w:w="40" w:type="dxa"/>
              <w:bottom w:w="40" w:type="dxa"/>
              <w:right w:w="40" w:type="dxa"/>
            </w:tcMar>
            <w:vAlign w:val="center"/>
          </w:tcPr>
          <w:p w14:paraId="1A4063C8" w14:textId="77777777" w:rsidR="006545C7" w:rsidRPr="00A8736B" w:rsidRDefault="006545C7" w:rsidP="0066054C">
            <w:pPr>
              <w:autoSpaceDE w:val="0"/>
              <w:autoSpaceDN w:val="0"/>
              <w:adjustRightInd w:val="0"/>
              <w:spacing w:before="40" w:after="40"/>
              <w:rPr>
                <w:rFonts w:asciiTheme="minorHAnsi" w:hAnsiTheme="minorHAnsi" w:cs="Arial"/>
                <w:sz w:val="22"/>
                <w:szCs w:val="22"/>
              </w:rPr>
            </w:pPr>
            <w:r w:rsidRPr="00A8736B">
              <w:rPr>
                <w:rFonts w:asciiTheme="minorHAnsi" w:eastAsiaTheme="minorHAnsi" w:hAnsiTheme="minorHAnsi" w:cs="Arial"/>
                <w:i/>
                <w:iCs/>
                <w:sz w:val="22"/>
                <w:szCs w:val="22"/>
              </w:rPr>
              <w:t>Componente 15 “Conectividad Digital, impulso de la ciberseguridad y despliegue del 5G”</w:t>
            </w:r>
          </w:p>
        </w:tc>
      </w:tr>
      <w:tr w:rsidR="006545C7" w:rsidRPr="00A8736B" w14:paraId="013A5CCF" w14:textId="77777777" w:rsidTr="0066054C">
        <w:trPr>
          <w:trHeight w:val="260"/>
        </w:trPr>
        <w:tc>
          <w:tcPr>
            <w:tcW w:w="3261" w:type="dxa"/>
            <w:tcMar>
              <w:top w:w="40" w:type="dxa"/>
              <w:left w:w="40" w:type="dxa"/>
              <w:bottom w:w="40" w:type="dxa"/>
              <w:right w:w="40" w:type="dxa"/>
            </w:tcMar>
            <w:vAlign w:val="center"/>
          </w:tcPr>
          <w:p w14:paraId="536E4DA0" w14:textId="77777777" w:rsidR="006545C7" w:rsidRPr="00A8736B" w:rsidRDefault="006545C7" w:rsidP="0066054C">
            <w:pPr>
              <w:autoSpaceDE w:val="0"/>
              <w:autoSpaceDN w:val="0"/>
              <w:adjustRightInd w:val="0"/>
              <w:spacing w:before="40" w:after="40"/>
              <w:rPr>
                <w:rFonts w:asciiTheme="minorHAnsi" w:hAnsiTheme="minorHAnsi" w:cs="Arial"/>
                <w:b/>
                <w:sz w:val="22"/>
                <w:szCs w:val="22"/>
              </w:rPr>
            </w:pPr>
            <w:r w:rsidRPr="00A8736B">
              <w:rPr>
                <w:rFonts w:asciiTheme="minorHAnsi" w:eastAsiaTheme="minorHAnsi" w:hAnsiTheme="minorHAnsi" w:cs="Arial"/>
                <w:b/>
                <w:sz w:val="22"/>
                <w:szCs w:val="22"/>
              </w:rPr>
              <w:t xml:space="preserve">Medida (Reforma o Inversión) del Componente PRTR al que pertenece la actividad indicando, en su caso, la </w:t>
            </w:r>
            <w:proofErr w:type="spellStart"/>
            <w:r w:rsidRPr="00A8736B">
              <w:rPr>
                <w:rFonts w:asciiTheme="minorHAnsi" w:eastAsiaTheme="minorHAnsi" w:hAnsiTheme="minorHAnsi" w:cs="Arial"/>
                <w:b/>
                <w:sz w:val="22"/>
                <w:szCs w:val="22"/>
              </w:rPr>
              <w:t>submedida</w:t>
            </w:r>
            <w:proofErr w:type="spellEnd"/>
          </w:p>
        </w:tc>
        <w:tc>
          <w:tcPr>
            <w:tcW w:w="5386" w:type="dxa"/>
            <w:tcMar>
              <w:top w:w="40" w:type="dxa"/>
              <w:left w:w="40" w:type="dxa"/>
              <w:bottom w:w="40" w:type="dxa"/>
              <w:right w:w="40" w:type="dxa"/>
            </w:tcMar>
            <w:vAlign w:val="center"/>
          </w:tcPr>
          <w:p w14:paraId="49A4C82B" w14:textId="77777777" w:rsidR="006545C7" w:rsidRPr="00A8736B" w:rsidRDefault="006545C7" w:rsidP="0066054C">
            <w:pPr>
              <w:autoSpaceDE w:val="0"/>
              <w:autoSpaceDN w:val="0"/>
              <w:adjustRightInd w:val="0"/>
              <w:spacing w:before="40" w:after="40"/>
              <w:rPr>
                <w:rFonts w:asciiTheme="minorHAnsi" w:eastAsiaTheme="minorHAnsi" w:hAnsiTheme="minorHAnsi" w:cs="Arial"/>
                <w:i/>
                <w:iCs/>
                <w:sz w:val="22"/>
                <w:szCs w:val="22"/>
              </w:rPr>
            </w:pPr>
            <w:r w:rsidRPr="00A8736B">
              <w:rPr>
                <w:rFonts w:asciiTheme="minorHAnsi" w:eastAsiaTheme="minorHAnsi" w:hAnsiTheme="minorHAnsi" w:cs="Arial"/>
                <w:i/>
                <w:iCs/>
                <w:sz w:val="22"/>
                <w:szCs w:val="22"/>
              </w:rPr>
              <w:t xml:space="preserve">Inversión 6 “Despliegue del 5G: redes, cambio tecnológico e innovación”. </w:t>
            </w:r>
          </w:p>
          <w:p w14:paraId="519FF9AE" w14:textId="77777777" w:rsidR="006545C7" w:rsidRPr="00A8736B" w:rsidRDefault="006545C7" w:rsidP="0066054C">
            <w:pPr>
              <w:autoSpaceDE w:val="0"/>
              <w:autoSpaceDN w:val="0"/>
              <w:adjustRightInd w:val="0"/>
              <w:spacing w:before="40" w:after="40"/>
              <w:rPr>
                <w:rFonts w:asciiTheme="minorHAnsi" w:hAnsiTheme="minorHAnsi" w:cs="Arial"/>
                <w:sz w:val="22"/>
                <w:szCs w:val="22"/>
              </w:rPr>
            </w:pPr>
            <w:proofErr w:type="spellStart"/>
            <w:r w:rsidRPr="00A8736B">
              <w:rPr>
                <w:rFonts w:asciiTheme="minorHAnsi" w:eastAsiaTheme="minorHAnsi" w:hAnsiTheme="minorHAnsi" w:cs="Arial"/>
                <w:i/>
                <w:iCs/>
                <w:sz w:val="22"/>
                <w:szCs w:val="22"/>
              </w:rPr>
              <w:t>Submedida</w:t>
            </w:r>
            <w:proofErr w:type="spellEnd"/>
            <w:r w:rsidRPr="00A8736B">
              <w:rPr>
                <w:rFonts w:asciiTheme="minorHAnsi" w:eastAsiaTheme="minorHAnsi" w:hAnsiTheme="minorHAnsi" w:cs="Arial"/>
                <w:i/>
                <w:iCs/>
                <w:sz w:val="22"/>
                <w:szCs w:val="22"/>
              </w:rPr>
              <w:t xml:space="preserve"> “Ecosistemas de innovación 5G”</w:t>
            </w:r>
          </w:p>
        </w:tc>
      </w:tr>
      <w:tr w:rsidR="006545C7" w:rsidRPr="00A8736B" w14:paraId="7EC46B1F" w14:textId="77777777" w:rsidTr="0066054C">
        <w:trPr>
          <w:trHeight w:val="260"/>
        </w:trPr>
        <w:tc>
          <w:tcPr>
            <w:tcW w:w="3261" w:type="dxa"/>
            <w:tcMar>
              <w:top w:w="40" w:type="dxa"/>
              <w:left w:w="40" w:type="dxa"/>
              <w:bottom w:w="40" w:type="dxa"/>
              <w:right w:w="40" w:type="dxa"/>
            </w:tcMar>
            <w:vAlign w:val="center"/>
          </w:tcPr>
          <w:p w14:paraId="37072773" w14:textId="77777777" w:rsidR="006545C7" w:rsidRPr="00A8736B" w:rsidRDefault="006545C7" w:rsidP="0066054C">
            <w:pPr>
              <w:autoSpaceDE w:val="0"/>
              <w:autoSpaceDN w:val="0"/>
              <w:adjustRightInd w:val="0"/>
              <w:spacing w:before="40" w:after="40"/>
              <w:rPr>
                <w:rFonts w:asciiTheme="minorHAnsi" w:eastAsia="Calibri" w:hAnsiTheme="minorHAnsi" w:cs="Arial"/>
                <w:b/>
                <w:color w:val="000000"/>
                <w:sz w:val="22"/>
                <w:szCs w:val="22"/>
              </w:rPr>
            </w:pPr>
            <w:r w:rsidRPr="00A8736B">
              <w:rPr>
                <w:rFonts w:asciiTheme="minorHAnsi" w:eastAsiaTheme="minorHAnsi" w:hAnsiTheme="minorHAnsi" w:cs="Arial"/>
                <w:b/>
                <w:color w:val="000000"/>
                <w:sz w:val="22"/>
                <w:szCs w:val="22"/>
              </w:rPr>
              <w:t xml:space="preserve">Etiquetado climático y medioambiental asignado a la medida (Reforma o Inversión) o, en su caso, a la </w:t>
            </w:r>
            <w:proofErr w:type="spellStart"/>
            <w:r w:rsidRPr="00A8736B">
              <w:rPr>
                <w:rFonts w:asciiTheme="minorHAnsi" w:eastAsiaTheme="minorHAnsi" w:hAnsiTheme="minorHAnsi" w:cs="Arial"/>
                <w:b/>
                <w:color w:val="000000"/>
                <w:sz w:val="22"/>
                <w:szCs w:val="22"/>
              </w:rPr>
              <w:t>submedida</w:t>
            </w:r>
            <w:proofErr w:type="spellEnd"/>
            <w:r w:rsidRPr="00A8736B">
              <w:rPr>
                <w:rFonts w:asciiTheme="minorHAnsi" w:eastAsiaTheme="minorHAnsi" w:hAnsiTheme="minorHAnsi" w:cs="Arial"/>
                <w:b/>
                <w:color w:val="000000"/>
                <w:sz w:val="22"/>
                <w:szCs w:val="22"/>
              </w:rPr>
              <w:t xml:space="preserve"> del PRTR (Anexo VI, Reglamento 2021/241)</w:t>
            </w:r>
          </w:p>
        </w:tc>
        <w:tc>
          <w:tcPr>
            <w:tcW w:w="5386" w:type="dxa"/>
            <w:tcMar>
              <w:top w:w="40" w:type="dxa"/>
              <w:left w:w="40" w:type="dxa"/>
              <w:bottom w:w="40" w:type="dxa"/>
              <w:right w:w="40" w:type="dxa"/>
            </w:tcMar>
            <w:vAlign w:val="center"/>
          </w:tcPr>
          <w:p w14:paraId="28812DBD" w14:textId="77777777" w:rsidR="006545C7" w:rsidRPr="00A8736B" w:rsidRDefault="006545C7" w:rsidP="0066054C">
            <w:pPr>
              <w:spacing w:before="40" w:after="40"/>
              <w:rPr>
                <w:rFonts w:asciiTheme="minorHAnsi" w:eastAsia="Arial" w:hAnsiTheme="minorHAnsi" w:cs="Arial"/>
                <w:sz w:val="22"/>
                <w:szCs w:val="22"/>
              </w:rPr>
            </w:pPr>
            <w:r w:rsidRPr="00A8736B">
              <w:rPr>
                <w:rFonts w:asciiTheme="minorHAnsi" w:eastAsiaTheme="minorHAnsi" w:hAnsiTheme="minorHAnsi" w:cs="Arial"/>
                <w:i/>
                <w:iCs/>
                <w:sz w:val="22"/>
                <w:szCs w:val="22"/>
              </w:rPr>
              <w:t>Sin etiqueta</w:t>
            </w:r>
          </w:p>
        </w:tc>
      </w:tr>
    </w:tbl>
    <w:p w14:paraId="504E7EB2" w14:textId="77777777" w:rsidR="006545C7" w:rsidRPr="00A8736B" w:rsidRDefault="006545C7" w:rsidP="006545C7">
      <w:pPr>
        <w:autoSpaceDE w:val="0"/>
        <w:autoSpaceDN w:val="0"/>
        <w:adjustRightInd w:val="0"/>
        <w:rPr>
          <w:rFonts w:asciiTheme="minorHAnsi" w:eastAsiaTheme="minorHAnsi" w:hAnsiTheme="minorHAnsi" w:cs="Arial"/>
          <w:b/>
          <w:bCs/>
          <w:color w:val="FFFFFF"/>
          <w:sz w:val="22"/>
          <w:szCs w:val="22"/>
        </w:rPr>
      </w:pPr>
    </w:p>
    <w:tbl>
      <w:tblPr>
        <w:tblW w:w="8647" w:type="dxa"/>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000" w:firstRow="0" w:lastRow="0" w:firstColumn="0" w:lastColumn="0" w:noHBand="0" w:noVBand="0"/>
      </w:tblPr>
      <w:tblGrid>
        <w:gridCol w:w="3261"/>
        <w:gridCol w:w="5386"/>
      </w:tblGrid>
      <w:tr w:rsidR="006545C7" w:rsidRPr="00A8736B" w14:paraId="5FE07E3E" w14:textId="77777777" w:rsidTr="0066054C">
        <w:trPr>
          <w:trHeight w:val="260"/>
        </w:trPr>
        <w:tc>
          <w:tcPr>
            <w:tcW w:w="3261" w:type="dxa"/>
            <w:tcMar>
              <w:top w:w="40" w:type="dxa"/>
              <w:left w:w="40" w:type="dxa"/>
              <w:bottom w:w="40" w:type="dxa"/>
              <w:right w:w="40" w:type="dxa"/>
            </w:tcMar>
            <w:vAlign w:val="center"/>
          </w:tcPr>
          <w:p w14:paraId="6E5F4502" w14:textId="77777777" w:rsidR="006545C7" w:rsidRPr="00A8736B" w:rsidRDefault="006545C7" w:rsidP="0066054C">
            <w:pPr>
              <w:spacing w:before="40" w:after="40"/>
              <w:rPr>
                <w:rFonts w:asciiTheme="minorHAnsi" w:hAnsiTheme="minorHAnsi" w:cs="Arial"/>
                <w:b/>
                <w:sz w:val="22"/>
                <w:szCs w:val="22"/>
              </w:rPr>
            </w:pPr>
            <w:r w:rsidRPr="00A8736B">
              <w:rPr>
                <w:rFonts w:asciiTheme="minorHAnsi" w:eastAsiaTheme="minorHAnsi" w:hAnsiTheme="minorHAnsi" w:cs="Arial"/>
                <w:b/>
                <w:color w:val="000000"/>
                <w:sz w:val="22"/>
                <w:szCs w:val="22"/>
              </w:rPr>
              <w:t>D./Dª</w:t>
            </w:r>
          </w:p>
        </w:tc>
        <w:tc>
          <w:tcPr>
            <w:tcW w:w="5386" w:type="dxa"/>
            <w:tcMar>
              <w:top w:w="40" w:type="dxa"/>
              <w:left w:w="40" w:type="dxa"/>
              <w:bottom w:w="40" w:type="dxa"/>
              <w:right w:w="40" w:type="dxa"/>
            </w:tcMar>
            <w:vAlign w:val="center"/>
          </w:tcPr>
          <w:p w14:paraId="57E74F77" w14:textId="77777777" w:rsidR="006545C7" w:rsidRPr="00A8736B" w:rsidRDefault="006545C7" w:rsidP="0066054C">
            <w:pPr>
              <w:autoSpaceDE w:val="0"/>
              <w:autoSpaceDN w:val="0"/>
              <w:adjustRightInd w:val="0"/>
              <w:spacing w:before="40" w:after="40"/>
              <w:rPr>
                <w:rFonts w:asciiTheme="minorHAnsi" w:hAnsiTheme="minorHAnsi" w:cs="Arial"/>
                <w:sz w:val="22"/>
                <w:szCs w:val="22"/>
              </w:rPr>
            </w:pPr>
          </w:p>
        </w:tc>
      </w:tr>
      <w:tr w:rsidR="006545C7" w:rsidRPr="00A8736B" w14:paraId="07190232" w14:textId="77777777" w:rsidTr="0066054C">
        <w:trPr>
          <w:trHeight w:val="260"/>
        </w:trPr>
        <w:tc>
          <w:tcPr>
            <w:tcW w:w="3261" w:type="dxa"/>
            <w:tcMar>
              <w:top w:w="40" w:type="dxa"/>
              <w:left w:w="40" w:type="dxa"/>
              <w:bottom w:w="40" w:type="dxa"/>
              <w:right w:w="40" w:type="dxa"/>
            </w:tcMar>
            <w:vAlign w:val="center"/>
          </w:tcPr>
          <w:p w14:paraId="4257ED96" w14:textId="77777777" w:rsidR="006545C7" w:rsidRPr="00A8736B" w:rsidRDefault="006545C7" w:rsidP="0066054C">
            <w:pPr>
              <w:autoSpaceDE w:val="0"/>
              <w:autoSpaceDN w:val="0"/>
              <w:adjustRightInd w:val="0"/>
              <w:spacing w:before="40" w:after="40"/>
              <w:rPr>
                <w:rFonts w:asciiTheme="minorHAnsi" w:eastAsiaTheme="minorHAnsi" w:hAnsiTheme="minorHAnsi" w:cs="Arial"/>
                <w:b/>
                <w:sz w:val="22"/>
                <w:szCs w:val="22"/>
              </w:rPr>
            </w:pPr>
            <w:r w:rsidRPr="00A8736B">
              <w:rPr>
                <w:rFonts w:asciiTheme="minorHAnsi" w:eastAsiaTheme="minorHAnsi" w:hAnsiTheme="minorHAnsi" w:cs="Arial"/>
                <w:b/>
                <w:sz w:val="22"/>
                <w:szCs w:val="22"/>
              </w:rPr>
              <w:t>Con NIF</w:t>
            </w:r>
          </w:p>
        </w:tc>
        <w:tc>
          <w:tcPr>
            <w:tcW w:w="5386" w:type="dxa"/>
            <w:tcMar>
              <w:top w:w="40" w:type="dxa"/>
              <w:left w:w="40" w:type="dxa"/>
              <w:bottom w:w="40" w:type="dxa"/>
              <w:right w:w="40" w:type="dxa"/>
            </w:tcMar>
            <w:vAlign w:val="center"/>
          </w:tcPr>
          <w:p w14:paraId="42425DE5" w14:textId="77777777" w:rsidR="006545C7" w:rsidRPr="00A8736B" w:rsidRDefault="006545C7" w:rsidP="0066054C">
            <w:pPr>
              <w:autoSpaceDE w:val="0"/>
              <w:autoSpaceDN w:val="0"/>
              <w:adjustRightInd w:val="0"/>
              <w:spacing w:before="40" w:after="40"/>
              <w:rPr>
                <w:rFonts w:asciiTheme="minorHAnsi" w:hAnsiTheme="minorHAnsi" w:cs="Arial"/>
                <w:sz w:val="22"/>
                <w:szCs w:val="22"/>
              </w:rPr>
            </w:pPr>
          </w:p>
        </w:tc>
      </w:tr>
      <w:tr w:rsidR="006545C7" w:rsidRPr="00A8736B" w14:paraId="6A3F7614" w14:textId="77777777" w:rsidTr="0066054C">
        <w:trPr>
          <w:trHeight w:val="260"/>
        </w:trPr>
        <w:tc>
          <w:tcPr>
            <w:tcW w:w="3261" w:type="dxa"/>
            <w:tcMar>
              <w:top w:w="40" w:type="dxa"/>
              <w:left w:w="40" w:type="dxa"/>
              <w:bottom w:w="40" w:type="dxa"/>
              <w:right w:w="40" w:type="dxa"/>
            </w:tcMar>
            <w:vAlign w:val="center"/>
          </w:tcPr>
          <w:p w14:paraId="6575F022" w14:textId="77777777" w:rsidR="006545C7" w:rsidRPr="00A8736B" w:rsidRDefault="006545C7" w:rsidP="0066054C">
            <w:pPr>
              <w:autoSpaceDE w:val="0"/>
              <w:autoSpaceDN w:val="0"/>
              <w:adjustRightInd w:val="0"/>
              <w:spacing w:before="40" w:after="40"/>
              <w:rPr>
                <w:rFonts w:asciiTheme="minorHAnsi" w:hAnsiTheme="minorHAnsi" w:cs="Arial"/>
                <w:b/>
                <w:sz w:val="22"/>
                <w:szCs w:val="22"/>
              </w:rPr>
            </w:pPr>
            <w:r w:rsidRPr="00A8736B">
              <w:rPr>
                <w:rFonts w:asciiTheme="minorHAnsi" w:eastAsiaTheme="minorHAnsi" w:hAnsiTheme="minorHAnsi" w:cs="Arial"/>
                <w:b/>
                <w:color w:val="000000"/>
                <w:sz w:val="22"/>
                <w:szCs w:val="22"/>
              </w:rPr>
              <w:t>Por sí mismo/a o en representación de la entidad</w:t>
            </w:r>
          </w:p>
        </w:tc>
        <w:tc>
          <w:tcPr>
            <w:tcW w:w="5386" w:type="dxa"/>
            <w:tcMar>
              <w:top w:w="40" w:type="dxa"/>
              <w:left w:w="40" w:type="dxa"/>
              <w:bottom w:w="40" w:type="dxa"/>
              <w:right w:w="40" w:type="dxa"/>
            </w:tcMar>
            <w:vAlign w:val="center"/>
          </w:tcPr>
          <w:p w14:paraId="788A3C7D" w14:textId="77777777" w:rsidR="006545C7" w:rsidRPr="00A8736B" w:rsidRDefault="006545C7" w:rsidP="0066054C">
            <w:pPr>
              <w:autoSpaceDE w:val="0"/>
              <w:autoSpaceDN w:val="0"/>
              <w:adjustRightInd w:val="0"/>
              <w:spacing w:before="40" w:after="40"/>
              <w:rPr>
                <w:rFonts w:asciiTheme="minorHAnsi" w:hAnsiTheme="minorHAnsi" w:cs="Arial"/>
                <w:sz w:val="22"/>
                <w:szCs w:val="22"/>
              </w:rPr>
            </w:pPr>
          </w:p>
        </w:tc>
      </w:tr>
      <w:tr w:rsidR="006545C7" w:rsidRPr="00A8736B" w14:paraId="1849A41D" w14:textId="77777777" w:rsidTr="0066054C">
        <w:trPr>
          <w:trHeight w:val="260"/>
        </w:trPr>
        <w:tc>
          <w:tcPr>
            <w:tcW w:w="3261" w:type="dxa"/>
            <w:tcMar>
              <w:top w:w="40" w:type="dxa"/>
              <w:left w:w="40" w:type="dxa"/>
              <w:bottom w:w="40" w:type="dxa"/>
              <w:right w:w="40" w:type="dxa"/>
            </w:tcMar>
            <w:vAlign w:val="center"/>
          </w:tcPr>
          <w:p w14:paraId="1FA1C20C" w14:textId="77777777" w:rsidR="006545C7" w:rsidRPr="00A8736B" w:rsidRDefault="006545C7" w:rsidP="0066054C">
            <w:pPr>
              <w:autoSpaceDE w:val="0"/>
              <w:autoSpaceDN w:val="0"/>
              <w:adjustRightInd w:val="0"/>
              <w:spacing w:before="40" w:after="40"/>
              <w:rPr>
                <w:rFonts w:asciiTheme="minorHAnsi" w:eastAsia="Calibri" w:hAnsiTheme="minorHAnsi" w:cs="Arial"/>
                <w:b/>
                <w:color w:val="000000"/>
                <w:sz w:val="22"/>
                <w:szCs w:val="22"/>
              </w:rPr>
            </w:pPr>
            <w:r w:rsidRPr="00A8736B">
              <w:rPr>
                <w:rFonts w:asciiTheme="minorHAnsi" w:eastAsiaTheme="minorHAnsi" w:hAnsiTheme="minorHAnsi" w:cs="Arial"/>
                <w:b/>
                <w:color w:val="000000"/>
                <w:sz w:val="22"/>
                <w:szCs w:val="22"/>
              </w:rPr>
              <w:t>Con CIF</w:t>
            </w:r>
          </w:p>
        </w:tc>
        <w:tc>
          <w:tcPr>
            <w:tcW w:w="5386" w:type="dxa"/>
            <w:tcMar>
              <w:top w:w="40" w:type="dxa"/>
              <w:left w:w="40" w:type="dxa"/>
              <w:bottom w:w="40" w:type="dxa"/>
              <w:right w:w="40" w:type="dxa"/>
            </w:tcMar>
            <w:vAlign w:val="center"/>
          </w:tcPr>
          <w:p w14:paraId="1B9E059A" w14:textId="77777777" w:rsidR="006545C7" w:rsidRPr="00A8736B" w:rsidRDefault="006545C7" w:rsidP="0066054C">
            <w:pPr>
              <w:spacing w:before="40" w:after="40"/>
              <w:rPr>
                <w:rFonts w:asciiTheme="minorHAnsi" w:eastAsia="Arial" w:hAnsiTheme="minorHAnsi" w:cs="Arial"/>
                <w:color w:val="000000"/>
                <w:sz w:val="22"/>
                <w:szCs w:val="22"/>
              </w:rPr>
            </w:pPr>
          </w:p>
        </w:tc>
      </w:tr>
      <w:tr w:rsidR="006545C7" w:rsidRPr="00A8736B" w14:paraId="02367558" w14:textId="77777777" w:rsidTr="0066054C">
        <w:trPr>
          <w:trHeight w:val="260"/>
        </w:trPr>
        <w:tc>
          <w:tcPr>
            <w:tcW w:w="3261" w:type="dxa"/>
            <w:tcMar>
              <w:top w:w="40" w:type="dxa"/>
              <w:left w:w="40" w:type="dxa"/>
              <w:bottom w:w="40" w:type="dxa"/>
              <w:right w:w="40" w:type="dxa"/>
            </w:tcMar>
            <w:vAlign w:val="center"/>
          </w:tcPr>
          <w:p w14:paraId="5C29A4BB" w14:textId="77777777" w:rsidR="006545C7" w:rsidRPr="00A8736B" w:rsidRDefault="006545C7" w:rsidP="0066054C">
            <w:pPr>
              <w:autoSpaceDE w:val="0"/>
              <w:autoSpaceDN w:val="0"/>
              <w:adjustRightInd w:val="0"/>
              <w:spacing w:before="40" w:after="40"/>
              <w:rPr>
                <w:rFonts w:asciiTheme="minorHAnsi" w:eastAsia="Calibri" w:hAnsiTheme="minorHAnsi" w:cs="Arial"/>
                <w:b/>
                <w:color w:val="000000"/>
                <w:sz w:val="22"/>
                <w:szCs w:val="22"/>
              </w:rPr>
            </w:pPr>
            <w:r w:rsidRPr="00A8736B">
              <w:rPr>
                <w:rFonts w:asciiTheme="minorHAnsi" w:eastAsia="Calibri" w:hAnsiTheme="minorHAnsi" w:cs="Arial"/>
                <w:b/>
                <w:color w:val="000000"/>
                <w:sz w:val="22"/>
                <w:szCs w:val="22"/>
              </w:rPr>
              <w:t>En calidad de</w:t>
            </w:r>
          </w:p>
        </w:tc>
        <w:tc>
          <w:tcPr>
            <w:tcW w:w="5386" w:type="dxa"/>
            <w:tcMar>
              <w:top w:w="40" w:type="dxa"/>
              <w:left w:w="40" w:type="dxa"/>
              <w:bottom w:w="40" w:type="dxa"/>
              <w:right w:w="40" w:type="dxa"/>
            </w:tcMar>
            <w:vAlign w:val="center"/>
          </w:tcPr>
          <w:p w14:paraId="44A17C9D" w14:textId="77777777" w:rsidR="006545C7" w:rsidRPr="00A8736B" w:rsidRDefault="006545C7" w:rsidP="0066054C">
            <w:pPr>
              <w:spacing w:before="40" w:after="40"/>
              <w:rPr>
                <w:rFonts w:asciiTheme="minorHAnsi" w:eastAsia="Arial" w:hAnsiTheme="minorHAnsi" w:cs="Arial"/>
                <w:color w:val="000000"/>
                <w:sz w:val="22"/>
                <w:szCs w:val="22"/>
              </w:rPr>
            </w:pPr>
          </w:p>
        </w:tc>
      </w:tr>
      <w:tr w:rsidR="006545C7" w:rsidRPr="00A8736B" w14:paraId="179BD9F8" w14:textId="77777777" w:rsidTr="0066054C">
        <w:trPr>
          <w:trHeight w:val="260"/>
        </w:trPr>
        <w:tc>
          <w:tcPr>
            <w:tcW w:w="3261" w:type="dxa"/>
            <w:tcMar>
              <w:top w:w="40" w:type="dxa"/>
              <w:left w:w="40" w:type="dxa"/>
              <w:bottom w:w="40" w:type="dxa"/>
              <w:right w:w="40" w:type="dxa"/>
            </w:tcMar>
            <w:vAlign w:val="center"/>
          </w:tcPr>
          <w:p w14:paraId="7E40706E" w14:textId="77777777" w:rsidR="006545C7" w:rsidRPr="00A8736B" w:rsidRDefault="006545C7" w:rsidP="0066054C">
            <w:pPr>
              <w:autoSpaceDE w:val="0"/>
              <w:autoSpaceDN w:val="0"/>
              <w:adjustRightInd w:val="0"/>
              <w:spacing w:before="40" w:after="40"/>
              <w:rPr>
                <w:rFonts w:asciiTheme="minorHAnsi" w:eastAsia="Calibri" w:hAnsiTheme="minorHAnsi" w:cs="Arial"/>
                <w:b/>
                <w:color w:val="000000"/>
                <w:sz w:val="22"/>
                <w:szCs w:val="22"/>
              </w:rPr>
            </w:pPr>
            <w:r w:rsidRPr="00A8736B">
              <w:rPr>
                <w:rFonts w:asciiTheme="minorHAnsi" w:eastAsia="Calibri" w:hAnsiTheme="minorHAnsi" w:cs="Arial"/>
                <w:b/>
                <w:color w:val="000000"/>
                <w:sz w:val="22"/>
                <w:szCs w:val="22"/>
              </w:rPr>
              <w:t>Datos de contacto (dirección, teléfono, email)</w:t>
            </w:r>
          </w:p>
        </w:tc>
        <w:tc>
          <w:tcPr>
            <w:tcW w:w="5386" w:type="dxa"/>
            <w:tcMar>
              <w:top w:w="40" w:type="dxa"/>
              <w:left w:w="40" w:type="dxa"/>
              <w:bottom w:w="40" w:type="dxa"/>
              <w:right w:w="40" w:type="dxa"/>
            </w:tcMar>
            <w:vAlign w:val="center"/>
          </w:tcPr>
          <w:p w14:paraId="09262666" w14:textId="77777777" w:rsidR="006545C7" w:rsidRPr="00A8736B" w:rsidRDefault="006545C7" w:rsidP="0066054C">
            <w:pPr>
              <w:spacing w:before="40" w:after="40"/>
              <w:rPr>
                <w:rFonts w:asciiTheme="minorHAnsi" w:eastAsia="Arial" w:hAnsiTheme="minorHAnsi" w:cs="Arial"/>
                <w:color w:val="000000"/>
                <w:sz w:val="22"/>
                <w:szCs w:val="22"/>
              </w:rPr>
            </w:pPr>
          </w:p>
        </w:tc>
      </w:tr>
    </w:tbl>
    <w:p w14:paraId="5105BA70" w14:textId="77777777" w:rsidR="006545C7" w:rsidRPr="00A8736B" w:rsidRDefault="006545C7" w:rsidP="006545C7">
      <w:pPr>
        <w:keepNext/>
        <w:autoSpaceDE w:val="0"/>
        <w:autoSpaceDN w:val="0"/>
        <w:adjustRightInd w:val="0"/>
        <w:spacing w:before="100" w:beforeAutospacing="1" w:after="100" w:afterAutospacing="1" w:line="264" w:lineRule="auto"/>
        <w:jc w:val="center"/>
        <w:rPr>
          <w:rFonts w:asciiTheme="minorHAnsi" w:eastAsiaTheme="minorHAnsi" w:hAnsiTheme="minorHAnsi" w:cs="Arial"/>
          <w:b/>
          <w:bCs/>
          <w:color w:val="000000"/>
          <w:sz w:val="22"/>
          <w:szCs w:val="22"/>
        </w:rPr>
      </w:pPr>
      <w:r w:rsidRPr="00A8736B">
        <w:rPr>
          <w:rFonts w:asciiTheme="minorHAnsi" w:eastAsiaTheme="minorHAnsi" w:hAnsiTheme="minorHAnsi" w:cs="Arial"/>
          <w:b/>
          <w:bCs/>
          <w:color w:val="000000"/>
          <w:sz w:val="22"/>
          <w:szCs w:val="22"/>
        </w:rPr>
        <w:lastRenderedPageBreak/>
        <w:t>DECLARA BAJO SU RESPONSABILIDAD</w:t>
      </w:r>
    </w:p>
    <w:p w14:paraId="63CE2F21" w14:textId="77777777" w:rsidR="006545C7" w:rsidRPr="00A8736B" w:rsidRDefault="006545C7" w:rsidP="006545C7">
      <w:pPr>
        <w:keepNext/>
        <w:autoSpaceDE w:val="0"/>
        <w:autoSpaceDN w:val="0"/>
        <w:adjustRightInd w:val="0"/>
        <w:spacing w:before="100" w:beforeAutospacing="1" w:after="100" w:afterAutospacing="1" w:line="264" w:lineRule="auto"/>
        <w:jc w:val="both"/>
        <w:rPr>
          <w:rFonts w:asciiTheme="minorHAnsi" w:eastAsiaTheme="minorHAnsi" w:hAnsiTheme="minorHAnsi" w:cs="Arial"/>
          <w:color w:val="000000"/>
          <w:sz w:val="22"/>
          <w:szCs w:val="22"/>
        </w:rPr>
      </w:pPr>
      <w:r w:rsidRPr="00A8736B">
        <w:rPr>
          <w:rFonts w:asciiTheme="minorHAnsi" w:eastAsiaTheme="minorHAnsi" w:hAnsiTheme="minorHAnsi" w:cs="Arial"/>
          <w:color w:val="000000"/>
          <w:sz w:val="22"/>
          <w:szCs w:val="22"/>
        </w:rPr>
        <w:t>Que ha presentado solicitud a la actuación arriba indicada para el proyecto denominado:</w:t>
      </w:r>
    </w:p>
    <w:tbl>
      <w:tblPr>
        <w:tblW w:w="8647" w:type="dxa"/>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000" w:firstRow="0" w:lastRow="0" w:firstColumn="0" w:lastColumn="0" w:noHBand="0" w:noVBand="0"/>
      </w:tblPr>
      <w:tblGrid>
        <w:gridCol w:w="8647"/>
      </w:tblGrid>
      <w:tr w:rsidR="006545C7" w:rsidRPr="00A8736B" w14:paraId="3E1B529D" w14:textId="77777777" w:rsidTr="0066054C">
        <w:trPr>
          <w:trHeight w:val="1351"/>
        </w:trPr>
        <w:tc>
          <w:tcPr>
            <w:tcW w:w="8647" w:type="dxa"/>
            <w:tcMar>
              <w:top w:w="40" w:type="dxa"/>
              <w:left w:w="40" w:type="dxa"/>
              <w:bottom w:w="40" w:type="dxa"/>
              <w:right w:w="40" w:type="dxa"/>
            </w:tcMar>
            <w:vAlign w:val="center"/>
          </w:tcPr>
          <w:p w14:paraId="77F2FA06" w14:textId="77777777" w:rsidR="006545C7" w:rsidRPr="00A8736B" w:rsidRDefault="006545C7" w:rsidP="0066054C">
            <w:pPr>
              <w:autoSpaceDE w:val="0"/>
              <w:autoSpaceDN w:val="0"/>
              <w:adjustRightInd w:val="0"/>
              <w:spacing w:before="100" w:beforeAutospacing="1" w:after="100" w:afterAutospacing="1" w:line="264" w:lineRule="auto"/>
              <w:rPr>
                <w:rFonts w:asciiTheme="minorHAnsi" w:hAnsiTheme="minorHAnsi" w:cs="Arial"/>
                <w:sz w:val="22"/>
                <w:szCs w:val="22"/>
              </w:rPr>
            </w:pPr>
            <w:r w:rsidRPr="00A8736B">
              <w:rPr>
                <w:rFonts w:asciiTheme="minorHAnsi" w:hAnsiTheme="minorHAnsi" w:cs="Arial"/>
                <w:b/>
                <w:bCs/>
                <w:sz w:val="22"/>
                <w:szCs w:val="22"/>
              </w:rPr>
              <w:t>Subprograma</w:t>
            </w:r>
            <w:r w:rsidRPr="00A8736B">
              <w:rPr>
                <w:rFonts w:asciiTheme="minorHAnsi" w:hAnsiTheme="minorHAnsi" w:cs="Arial"/>
                <w:sz w:val="22"/>
                <w:szCs w:val="22"/>
              </w:rPr>
              <w:t>:</w:t>
            </w:r>
          </w:p>
          <w:p w14:paraId="3F6EADBE" w14:textId="77777777" w:rsidR="006545C7" w:rsidRPr="00A8736B" w:rsidRDefault="006545C7" w:rsidP="0066054C">
            <w:pPr>
              <w:autoSpaceDE w:val="0"/>
              <w:autoSpaceDN w:val="0"/>
              <w:adjustRightInd w:val="0"/>
              <w:spacing w:before="100" w:beforeAutospacing="1" w:after="100" w:afterAutospacing="1" w:line="264" w:lineRule="auto"/>
              <w:rPr>
                <w:rFonts w:asciiTheme="minorHAnsi" w:hAnsiTheme="minorHAnsi" w:cs="Arial"/>
                <w:sz w:val="22"/>
                <w:szCs w:val="22"/>
              </w:rPr>
            </w:pPr>
            <w:r w:rsidRPr="00A8736B">
              <w:rPr>
                <w:rFonts w:asciiTheme="minorHAnsi" w:hAnsiTheme="minorHAnsi" w:cs="Arial"/>
                <w:b/>
                <w:bCs/>
                <w:sz w:val="22"/>
                <w:szCs w:val="22"/>
              </w:rPr>
              <w:t>Título Proyecto</w:t>
            </w:r>
            <w:r w:rsidRPr="00A8736B">
              <w:rPr>
                <w:rFonts w:asciiTheme="minorHAnsi" w:hAnsiTheme="minorHAnsi" w:cs="Arial"/>
                <w:sz w:val="22"/>
                <w:szCs w:val="22"/>
              </w:rPr>
              <w:t>:</w:t>
            </w:r>
          </w:p>
          <w:p w14:paraId="140C2BB7" w14:textId="77777777" w:rsidR="006545C7" w:rsidRPr="00A8736B" w:rsidRDefault="006545C7" w:rsidP="0066054C">
            <w:pPr>
              <w:autoSpaceDE w:val="0"/>
              <w:autoSpaceDN w:val="0"/>
              <w:adjustRightInd w:val="0"/>
              <w:spacing w:before="100" w:beforeAutospacing="1" w:after="100" w:afterAutospacing="1" w:line="264" w:lineRule="auto"/>
              <w:rPr>
                <w:rFonts w:asciiTheme="minorHAnsi" w:hAnsiTheme="minorHAnsi" w:cs="Arial"/>
                <w:sz w:val="22"/>
                <w:szCs w:val="22"/>
              </w:rPr>
            </w:pPr>
          </w:p>
          <w:p w14:paraId="31F5CF38" w14:textId="77777777" w:rsidR="006545C7" w:rsidRPr="00A8736B" w:rsidRDefault="006545C7" w:rsidP="0066054C">
            <w:pPr>
              <w:autoSpaceDE w:val="0"/>
              <w:autoSpaceDN w:val="0"/>
              <w:adjustRightInd w:val="0"/>
              <w:spacing w:before="100" w:beforeAutospacing="1" w:after="100" w:afterAutospacing="1" w:line="264" w:lineRule="auto"/>
              <w:rPr>
                <w:rFonts w:asciiTheme="minorHAnsi" w:hAnsiTheme="minorHAnsi" w:cs="Arial"/>
                <w:sz w:val="22"/>
                <w:szCs w:val="22"/>
              </w:rPr>
            </w:pPr>
          </w:p>
        </w:tc>
      </w:tr>
    </w:tbl>
    <w:p w14:paraId="393D1E83" w14:textId="77777777" w:rsidR="006545C7" w:rsidRPr="00A8736B" w:rsidRDefault="006545C7" w:rsidP="006545C7">
      <w:pPr>
        <w:autoSpaceDE w:val="0"/>
        <w:autoSpaceDN w:val="0"/>
        <w:adjustRightInd w:val="0"/>
        <w:spacing w:before="100" w:beforeAutospacing="1" w:after="100" w:afterAutospacing="1" w:line="264" w:lineRule="auto"/>
        <w:rPr>
          <w:rFonts w:asciiTheme="minorHAnsi" w:eastAsiaTheme="minorHAnsi" w:hAnsiTheme="minorHAnsi" w:cs="Arial"/>
          <w:color w:val="000000"/>
          <w:sz w:val="22"/>
          <w:szCs w:val="22"/>
        </w:rPr>
      </w:pPr>
      <w:r w:rsidRPr="00A8736B">
        <w:rPr>
          <w:rFonts w:asciiTheme="minorHAnsi" w:eastAsiaTheme="minorHAnsi" w:hAnsiTheme="minorHAnsi" w:cs="Arial"/>
          <w:color w:val="000000"/>
          <w:sz w:val="22"/>
          <w:szCs w:val="22"/>
        </w:rPr>
        <w:t>y éste cumple lo siguiente:</w:t>
      </w:r>
    </w:p>
    <w:p w14:paraId="78C85A62" w14:textId="77777777" w:rsidR="006545C7" w:rsidRPr="00A8736B" w:rsidRDefault="006545C7" w:rsidP="006545C7">
      <w:pPr>
        <w:autoSpaceDE w:val="0"/>
        <w:autoSpaceDN w:val="0"/>
        <w:adjustRightInd w:val="0"/>
        <w:spacing w:before="240" w:after="120" w:line="264" w:lineRule="auto"/>
        <w:jc w:val="both"/>
        <w:rPr>
          <w:rFonts w:asciiTheme="minorHAnsi" w:eastAsiaTheme="minorHAnsi" w:hAnsiTheme="minorHAnsi" w:cs="Arial"/>
          <w:color w:val="000000"/>
          <w:sz w:val="22"/>
          <w:szCs w:val="22"/>
        </w:rPr>
      </w:pPr>
      <w:r w:rsidRPr="00A8736B">
        <w:rPr>
          <w:rFonts w:asciiTheme="minorHAnsi" w:eastAsiaTheme="minorHAnsi" w:hAnsiTheme="minorHAnsi" w:cs="Arial"/>
          <w:bCs/>
          <w:sz w:val="22"/>
          <w:szCs w:val="22"/>
        </w:rPr>
        <w:t>A.</w:t>
      </w:r>
      <w:r w:rsidRPr="00A8736B">
        <w:rPr>
          <w:rFonts w:asciiTheme="minorHAnsi" w:eastAsiaTheme="minorHAnsi" w:hAnsiTheme="minorHAnsi" w:cs="Arial"/>
          <w:b/>
          <w:bCs/>
          <w:color w:val="538135" w:themeColor="accent6" w:themeShade="BF"/>
          <w:sz w:val="22"/>
          <w:szCs w:val="22"/>
        </w:rPr>
        <w:t xml:space="preserve"> </w:t>
      </w:r>
      <w:r w:rsidRPr="00A8736B">
        <w:rPr>
          <w:rFonts w:asciiTheme="minorHAnsi" w:eastAsiaTheme="minorHAnsi" w:hAnsiTheme="minorHAnsi" w:cs="Arial"/>
          <w:color w:val="000000"/>
          <w:sz w:val="22"/>
          <w:szCs w:val="22"/>
        </w:rPr>
        <w:t xml:space="preserve">Las actividades que se desarrollan en el mismo no ocasionan un perjuicio significativo a los siguientes objetivos medioambientales, según el artículo 17 del Reglamento (UE) 2020/852 relativo al establecimiento de un marco para facilitar las inversiones sostenibles mediante la implantación de un sistema de clasificación (o «taxonomía») de las actividades económicas medioambientalmente sostenibles: </w:t>
      </w:r>
    </w:p>
    <w:p w14:paraId="394056CA" w14:textId="77777777" w:rsidR="006545C7" w:rsidRPr="00A8736B" w:rsidRDefault="006545C7" w:rsidP="006545C7">
      <w:pPr>
        <w:pStyle w:val="Prrafodelista"/>
        <w:numPr>
          <w:ilvl w:val="0"/>
          <w:numId w:val="5"/>
        </w:numPr>
        <w:autoSpaceDE w:val="0"/>
        <w:autoSpaceDN w:val="0"/>
        <w:adjustRightInd w:val="0"/>
        <w:spacing w:before="60" w:after="60" w:line="264" w:lineRule="auto"/>
        <w:ind w:left="357" w:hanging="357"/>
        <w:contextualSpacing w:val="0"/>
        <w:jc w:val="both"/>
        <w:rPr>
          <w:rFonts w:asciiTheme="minorHAnsi" w:eastAsiaTheme="minorHAnsi" w:hAnsiTheme="minorHAnsi" w:cs="Arial"/>
          <w:color w:val="000000"/>
          <w:sz w:val="22"/>
          <w:szCs w:val="22"/>
        </w:rPr>
      </w:pPr>
      <w:r w:rsidRPr="00A8736B">
        <w:rPr>
          <w:rFonts w:asciiTheme="minorHAnsi" w:eastAsiaTheme="minorHAnsi" w:hAnsiTheme="minorHAnsi" w:cs="Arial"/>
          <w:b/>
          <w:color w:val="000000"/>
          <w:sz w:val="22"/>
          <w:szCs w:val="22"/>
          <w:u w:val="single"/>
        </w:rPr>
        <w:t>Mitigación del cambio climático</w:t>
      </w:r>
      <w:r w:rsidRPr="00A8736B">
        <w:rPr>
          <w:rFonts w:asciiTheme="minorHAnsi" w:eastAsiaTheme="minorHAnsi" w:hAnsiTheme="minorHAnsi" w:cs="Arial"/>
          <w:color w:val="000000"/>
          <w:sz w:val="22"/>
          <w:szCs w:val="22"/>
        </w:rPr>
        <w:t xml:space="preserve"> - se considera que una actividad causa un perjuicio significativo a la mitigación del cambio climático si da lugar a considerables emisiones de gases de efecto invernadero (GEI).</w:t>
      </w:r>
    </w:p>
    <w:p w14:paraId="744E6084" w14:textId="77777777" w:rsidR="006545C7" w:rsidRPr="00A8736B" w:rsidRDefault="006545C7" w:rsidP="006545C7">
      <w:pPr>
        <w:pStyle w:val="Prrafodelista"/>
        <w:numPr>
          <w:ilvl w:val="0"/>
          <w:numId w:val="5"/>
        </w:numPr>
        <w:autoSpaceDE w:val="0"/>
        <w:autoSpaceDN w:val="0"/>
        <w:adjustRightInd w:val="0"/>
        <w:spacing w:before="60" w:after="60" w:line="264" w:lineRule="auto"/>
        <w:ind w:left="357" w:hanging="357"/>
        <w:contextualSpacing w:val="0"/>
        <w:jc w:val="both"/>
        <w:rPr>
          <w:rFonts w:asciiTheme="minorHAnsi" w:eastAsiaTheme="minorHAnsi" w:hAnsiTheme="minorHAnsi" w:cs="Arial"/>
          <w:color w:val="000000"/>
          <w:sz w:val="22"/>
          <w:szCs w:val="22"/>
        </w:rPr>
      </w:pPr>
      <w:r w:rsidRPr="00A8736B">
        <w:rPr>
          <w:rFonts w:asciiTheme="minorHAnsi" w:eastAsiaTheme="minorHAnsi" w:hAnsiTheme="minorHAnsi" w:cs="Arial"/>
          <w:b/>
          <w:color w:val="000000"/>
          <w:sz w:val="22"/>
          <w:szCs w:val="22"/>
          <w:u w:val="single"/>
        </w:rPr>
        <w:t>Adaptación al cambio climático</w:t>
      </w:r>
      <w:r w:rsidRPr="00A8736B">
        <w:rPr>
          <w:rFonts w:asciiTheme="minorHAnsi" w:eastAsiaTheme="minorHAnsi" w:hAnsiTheme="minorHAnsi" w:cs="Arial"/>
          <w:color w:val="000000"/>
          <w:sz w:val="22"/>
          <w:szCs w:val="22"/>
        </w:rPr>
        <w:t xml:space="preserve"> - se considera que una actividad causa un perjuicio significativo a la adaptación al cambio climático si provoca un aumento de los efectos adversos de las condiciones climáticas actuales y de las previstas en el futuro, sobre sí misma o en las personas, la naturaleza o los activos.</w:t>
      </w:r>
    </w:p>
    <w:p w14:paraId="7DD99FAF" w14:textId="77777777" w:rsidR="006545C7" w:rsidRPr="00A8736B" w:rsidRDefault="006545C7" w:rsidP="006545C7">
      <w:pPr>
        <w:pStyle w:val="Prrafodelista"/>
        <w:numPr>
          <w:ilvl w:val="0"/>
          <w:numId w:val="5"/>
        </w:numPr>
        <w:autoSpaceDE w:val="0"/>
        <w:autoSpaceDN w:val="0"/>
        <w:adjustRightInd w:val="0"/>
        <w:spacing w:before="60" w:after="60" w:line="264" w:lineRule="auto"/>
        <w:ind w:left="357" w:hanging="357"/>
        <w:contextualSpacing w:val="0"/>
        <w:jc w:val="both"/>
        <w:rPr>
          <w:rFonts w:asciiTheme="minorHAnsi" w:eastAsiaTheme="minorHAnsi" w:hAnsiTheme="minorHAnsi" w:cs="Arial"/>
          <w:color w:val="000000"/>
          <w:sz w:val="22"/>
          <w:szCs w:val="22"/>
        </w:rPr>
      </w:pPr>
      <w:r w:rsidRPr="00A8736B">
        <w:rPr>
          <w:rFonts w:asciiTheme="minorHAnsi" w:eastAsiaTheme="minorHAnsi" w:hAnsiTheme="minorHAnsi" w:cs="Arial"/>
          <w:b/>
          <w:color w:val="000000"/>
          <w:sz w:val="22"/>
          <w:szCs w:val="22"/>
          <w:u w:val="single"/>
        </w:rPr>
        <w:t>Uso sostenible y protección de los recursos hídricos y marinos</w:t>
      </w:r>
      <w:r w:rsidRPr="00A8736B">
        <w:rPr>
          <w:rFonts w:asciiTheme="minorHAnsi" w:eastAsiaTheme="minorHAnsi" w:hAnsiTheme="minorHAnsi" w:cs="Arial"/>
          <w:color w:val="000000"/>
          <w:sz w:val="22"/>
          <w:szCs w:val="22"/>
        </w:rPr>
        <w:t xml:space="preserve"> - se considera que una actividad causa un perjuicio significativo a la utilización y protección sostenibles de los recursos hídricos y marinos si va en detrimento del buen estado o del buen potencial ecológico de las masas de agua, incluidas las superficiales y subterráneas, y del buen estado ecológico de las aguas marinas.</w:t>
      </w:r>
    </w:p>
    <w:p w14:paraId="20D006F8" w14:textId="77777777" w:rsidR="006545C7" w:rsidRPr="00A8736B" w:rsidRDefault="006545C7" w:rsidP="006545C7">
      <w:pPr>
        <w:pStyle w:val="Prrafodelista"/>
        <w:numPr>
          <w:ilvl w:val="0"/>
          <w:numId w:val="5"/>
        </w:numPr>
        <w:autoSpaceDE w:val="0"/>
        <w:autoSpaceDN w:val="0"/>
        <w:adjustRightInd w:val="0"/>
        <w:spacing w:before="60" w:after="60" w:line="264" w:lineRule="auto"/>
        <w:ind w:left="357" w:hanging="357"/>
        <w:contextualSpacing w:val="0"/>
        <w:jc w:val="both"/>
        <w:rPr>
          <w:rFonts w:asciiTheme="minorHAnsi" w:eastAsiaTheme="minorHAnsi" w:hAnsiTheme="minorHAnsi" w:cs="Arial"/>
          <w:color w:val="000000"/>
          <w:sz w:val="22"/>
          <w:szCs w:val="22"/>
        </w:rPr>
      </w:pPr>
      <w:r w:rsidRPr="00A8736B">
        <w:rPr>
          <w:rFonts w:asciiTheme="minorHAnsi" w:eastAsiaTheme="minorHAnsi" w:hAnsiTheme="minorHAnsi" w:cs="Arial"/>
          <w:b/>
          <w:color w:val="000000"/>
          <w:sz w:val="22"/>
          <w:szCs w:val="22"/>
          <w:u w:val="single"/>
        </w:rPr>
        <w:t>Economía circular, incluidos la prevención y el reciclado de residuos</w:t>
      </w:r>
      <w:r w:rsidRPr="00A8736B">
        <w:rPr>
          <w:rFonts w:asciiTheme="minorHAnsi" w:eastAsiaTheme="minorHAnsi" w:hAnsiTheme="minorHAnsi" w:cs="Arial"/>
          <w:color w:val="000000"/>
          <w:sz w:val="22"/>
          <w:szCs w:val="22"/>
        </w:rPr>
        <w:t xml:space="preserve"> - se considera que una actividad causa un perjuicio significativo a la economía circular, incluidos la prevención y el reciclado de residuos, si genera importantes ineficiencias en el uso de materiales o en el uso directo o indirecto de recursos naturales; si da lugar a un aumento significativo de la generación, incineración o eliminación de residuos; o si la eliminación de residuos a largo plazo puede causar un perjuicio significativo y a largo plazo para el medio ambiente. </w:t>
      </w:r>
    </w:p>
    <w:p w14:paraId="67A81E73" w14:textId="77777777" w:rsidR="006545C7" w:rsidRPr="00A8736B" w:rsidRDefault="006545C7" w:rsidP="006545C7">
      <w:pPr>
        <w:pStyle w:val="Prrafodelista"/>
        <w:numPr>
          <w:ilvl w:val="0"/>
          <w:numId w:val="5"/>
        </w:numPr>
        <w:autoSpaceDE w:val="0"/>
        <w:autoSpaceDN w:val="0"/>
        <w:adjustRightInd w:val="0"/>
        <w:spacing w:before="60" w:after="60" w:line="264" w:lineRule="auto"/>
        <w:ind w:left="357" w:hanging="357"/>
        <w:contextualSpacing w:val="0"/>
        <w:jc w:val="both"/>
        <w:rPr>
          <w:rFonts w:asciiTheme="minorHAnsi" w:eastAsiaTheme="minorHAnsi" w:hAnsiTheme="minorHAnsi" w:cs="Arial"/>
          <w:color w:val="000000"/>
          <w:sz w:val="22"/>
          <w:szCs w:val="22"/>
        </w:rPr>
      </w:pPr>
      <w:r w:rsidRPr="00A8736B">
        <w:rPr>
          <w:rFonts w:asciiTheme="minorHAnsi" w:eastAsiaTheme="minorHAnsi" w:hAnsiTheme="minorHAnsi" w:cs="Arial"/>
          <w:b/>
          <w:color w:val="000000"/>
          <w:sz w:val="22"/>
          <w:szCs w:val="22"/>
          <w:u w:val="single"/>
        </w:rPr>
        <w:t>Prevención y control de la contaminación a la atmósfera, el agua o el suelo</w:t>
      </w:r>
      <w:r w:rsidRPr="00A8736B">
        <w:rPr>
          <w:rFonts w:asciiTheme="minorHAnsi" w:eastAsiaTheme="minorHAnsi" w:hAnsiTheme="minorHAnsi" w:cs="Arial"/>
          <w:color w:val="000000"/>
          <w:sz w:val="22"/>
          <w:szCs w:val="22"/>
        </w:rPr>
        <w:t xml:space="preserve"> - se considera que una actividad causa un perjuicio significativo a la prevención y el control de la contaminación cuando da lugar a un aumento significativo de las emisiones de contaminantes a la atmósfera, el agua o el suelo. </w:t>
      </w:r>
    </w:p>
    <w:p w14:paraId="37A5111F" w14:textId="77777777" w:rsidR="006545C7" w:rsidRPr="00A8736B" w:rsidRDefault="006545C7" w:rsidP="006545C7">
      <w:pPr>
        <w:pStyle w:val="Prrafodelista"/>
        <w:numPr>
          <w:ilvl w:val="0"/>
          <w:numId w:val="5"/>
        </w:numPr>
        <w:autoSpaceDE w:val="0"/>
        <w:autoSpaceDN w:val="0"/>
        <w:adjustRightInd w:val="0"/>
        <w:spacing w:before="60" w:after="60" w:line="264" w:lineRule="auto"/>
        <w:ind w:left="357" w:hanging="357"/>
        <w:contextualSpacing w:val="0"/>
        <w:jc w:val="both"/>
        <w:rPr>
          <w:rFonts w:asciiTheme="minorHAnsi" w:eastAsiaTheme="minorHAnsi" w:hAnsiTheme="minorHAnsi" w:cs="Arial"/>
          <w:color w:val="000000"/>
          <w:sz w:val="22"/>
          <w:szCs w:val="22"/>
        </w:rPr>
      </w:pPr>
      <w:r w:rsidRPr="00A8736B">
        <w:rPr>
          <w:rFonts w:asciiTheme="minorHAnsi" w:eastAsiaTheme="minorHAnsi" w:hAnsiTheme="minorHAnsi" w:cs="Arial"/>
          <w:b/>
          <w:color w:val="000000"/>
          <w:sz w:val="22"/>
          <w:szCs w:val="22"/>
          <w:u w:val="single"/>
        </w:rPr>
        <w:t>Protección y restauración de la biodiversidad y los ecosistemas</w:t>
      </w:r>
      <w:r w:rsidRPr="00A8736B">
        <w:rPr>
          <w:rFonts w:asciiTheme="minorHAnsi" w:eastAsiaTheme="minorHAnsi" w:hAnsiTheme="minorHAnsi" w:cs="Arial"/>
          <w:color w:val="000000"/>
          <w:sz w:val="22"/>
          <w:szCs w:val="22"/>
        </w:rPr>
        <w:t xml:space="preserve"> - se considera que una actividad causa un perjuicio significativo a la protección y restauración de la biodiversidad y los ecosistemas cuando va en gran medida en detrimento de las buenas condiciones y la resiliencia de los ecosistemas, o va en detrimento del estado de conservación de los hábitats y las especies, en particular de aquellos de interés para la Unión.</w:t>
      </w:r>
    </w:p>
    <w:p w14:paraId="528EA8F4" w14:textId="77777777" w:rsidR="006545C7" w:rsidRPr="00A8736B" w:rsidRDefault="006545C7" w:rsidP="006545C7">
      <w:pPr>
        <w:autoSpaceDE w:val="0"/>
        <w:autoSpaceDN w:val="0"/>
        <w:adjustRightInd w:val="0"/>
        <w:spacing w:before="240" w:after="120" w:line="264" w:lineRule="auto"/>
        <w:jc w:val="both"/>
        <w:rPr>
          <w:rFonts w:asciiTheme="minorHAnsi" w:eastAsiaTheme="minorHAnsi" w:hAnsiTheme="minorHAnsi" w:cs="Arial"/>
          <w:color w:val="000000"/>
          <w:sz w:val="22"/>
          <w:szCs w:val="22"/>
        </w:rPr>
      </w:pPr>
      <w:r w:rsidRPr="00A8736B">
        <w:rPr>
          <w:rFonts w:asciiTheme="minorHAnsi" w:eastAsiaTheme="minorHAnsi" w:hAnsiTheme="minorHAnsi" w:cs="Arial"/>
          <w:bCs/>
          <w:sz w:val="22"/>
          <w:szCs w:val="22"/>
        </w:rPr>
        <w:lastRenderedPageBreak/>
        <w:t>B.</w:t>
      </w:r>
      <w:r w:rsidRPr="00A8736B">
        <w:rPr>
          <w:rFonts w:asciiTheme="minorHAnsi" w:eastAsiaTheme="minorHAnsi" w:hAnsiTheme="minorHAnsi" w:cs="Arial"/>
          <w:b/>
          <w:bCs/>
          <w:color w:val="96C21F"/>
          <w:sz w:val="22"/>
          <w:szCs w:val="22"/>
        </w:rPr>
        <w:t xml:space="preserve"> </w:t>
      </w:r>
      <w:r w:rsidRPr="00A8736B">
        <w:rPr>
          <w:rFonts w:asciiTheme="minorHAnsi" w:eastAsiaTheme="minorHAnsi" w:hAnsiTheme="minorHAnsi" w:cs="Arial"/>
          <w:color w:val="000000"/>
          <w:sz w:val="22"/>
          <w:szCs w:val="22"/>
        </w:rPr>
        <w:t xml:space="preserve">Las actividades se adecúan, en su caso, a las características y condiciones fijadas para la medida y </w:t>
      </w:r>
      <w:proofErr w:type="spellStart"/>
      <w:r w:rsidRPr="00A8736B">
        <w:rPr>
          <w:rFonts w:asciiTheme="minorHAnsi" w:eastAsiaTheme="minorHAnsi" w:hAnsiTheme="minorHAnsi" w:cs="Arial"/>
          <w:color w:val="000000"/>
          <w:sz w:val="22"/>
          <w:szCs w:val="22"/>
        </w:rPr>
        <w:t>submedida</w:t>
      </w:r>
      <w:proofErr w:type="spellEnd"/>
      <w:r w:rsidRPr="00A8736B">
        <w:rPr>
          <w:rFonts w:asciiTheme="minorHAnsi" w:eastAsiaTheme="minorHAnsi" w:hAnsiTheme="minorHAnsi" w:cs="Arial"/>
          <w:color w:val="000000"/>
          <w:sz w:val="22"/>
          <w:szCs w:val="22"/>
        </w:rPr>
        <w:t xml:space="preserve"> del Componente y reflejadas en el Plan de Recuperación, Transformación y Resiliencia. </w:t>
      </w:r>
    </w:p>
    <w:p w14:paraId="45F4788C" w14:textId="77777777" w:rsidR="006545C7" w:rsidRPr="00A8736B" w:rsidRDefault="006545C7" w:rsidP="006545C7">
      <w:pPr>
        <w:spacing w:after="240" w:line="276" w:lineRule="auto"/>
        <w:jc w:val="both"/>
        <w:rPr>
          <w:rFonts w:asciiTheme="minorHAnsi" w:hAnsiTheme="minorHAnsi" w:cs="Arial"/>
          <w:color w:val="000000" w:themeColor="text1"/>
          <w:sz w:val="22"/>
          <w:szCs w:val="22"/>
        </w:rPr>
      </w:pPr>
      <w:r w:rsidRPr="00A8736B">
        <w:rPr>
          <w:rFonts w:asciiTheme="minorHAnsi" w:hAnsiTheme="minorHAnsi" w:cs="Arial"/>
          <w:color w:val="000000" w:themeColor="text1"/>
          <w:sz w:val="22"/>
          <w:szCs w:val="22"/>
        </w:rPr>
        <w:t>En concreto:</w:t>
      </w:r>
    </w:p>
    <w:p w14:paraId="4EC17FE1" w14:textId="77777777" w:rsidR="006545C7" w:rsidRPr="00A8736B" w:rsidRDefault="006545C7" w:rsidP="006545C7">
      <w:pPr>
        <w:pStyle w:val="Estilo3"/>
        <w:ind w:left="714" w:hanging="357"/>
        <w:contextualSpacing w:val="0"/>
        <w:rPr>
          <w:rFonts w:asciiTheme="minorHAnsi" w:hAnsiTheme="minorHAnsi"/>
        </w:rPr>
      </w:pPr>
      <w:r w:rsidRPr="00A8736B">
        <w:rPr>
          <w:rFonts w:asciiTheme="minorHAnsi" w:hAnsiTheme="minorHAnsi"/>
        </w:rPr>
        <w:t>En aquellas actuaciones que contemplen obras, los beneficiarios garantizarán, en función de las características de la misma, que no se perjudique a ninguno de los seis objetivos medioambientales definidos en dicho reglamento y se comprometerán a que:</w:t>
      </w:r>
    </w:p>
    <w:p w14:paraId="7053BF97" w14:textId="77777777" w:rsidR="006545C7" w:rsidRPr="00A8736B" w:rsidRDefault="006545C7" w:rsidP="006545C7">
      <w:pPr>
        <w:pStyle w:val="Estilo3"/>
        <w:numPr>
          <w:ilvl w:val="7"/>
          <w:numId w:val="7"/>
        </w:numPr>
        <w:ind w:left="1054" w:hanging="357"/>
        <w:rPr>
          <w:rFonts w:asciiTheme="minorHAnsi" w:hAnsiTheme="minorHAnsi"/>
        </w:rPr>
      </w:pPr>
      <w:r w:rsidRPr="00A8736B">
        <w:rPr>
          <w:rFonts w:asciiTheme="minorHAnsi" w:hAnsiTheme="minorHAnsi"/>
        </w:rPr>
        <w:t xml:space="preserve">Al menos el 70 % (en peso) de los residuos de construcción y demolición generados en los proyectos de infraestructura (con exclusión de los residuos con código LER 17 05 04), se preparen para la reutilización, el reciclaje y la revalorización de otros materiales, incluidas las operaciones de relleno utilizando residuos para sustituir otros materiales de acuerdo con la jerarquía de residuos y el Protocolo de gestión de residuos de construcción y demolición de la UE. </w:t>
      </w:r>
    </w:p>
    <w:p w14:paraId="57E9F06D" w14:textId="77777777" w:rsidR="006545C7" w:rsidRPr="00A8736B" w:rsidRDefault="006545C7" w:rsidP="006545C7">
      <w:pPr>
        <w:pStyle w:val="Estilo3"/>
        <w:numPr>
          <w:ilvl w:val="7"/>
          <w:numId w:val="7"/>
        </w:numPr>
        <w:ind w:left="1054" w:hanging="357"/>
        <w:rPr>
          <w:rFonts w:asciiTheme="minorHAnsi" w:hAnsiTheme="minorHAnsi"/>
        </w:rPr>
      </w:pPr>
      <w:r w:rsidRPr="00A8736B">
        <w:rPr>
          <w:rFonts w:asciiTheme="minorHAnsi" w:hAnsiTheme="minorHAnsi"/>
        </w:rPr>
        <w:t xml:space="preserve">Los operadores limiten la generación de residuos en los procesos relacionados con la construcción y demolición, de conformidad con el Protocolo de gestión de residuos de construcción y demolición de la UE y teniendo en cuenta las mejores técnicas disponibles y utilizando la demolición selectiva para permitir la eliminación y manipulación segura de sustancias peligrosas y facilitar la reutilización y reciclaje de alta calidad mediante la eliminación selectiva de materiales, utilizando los sistemas de clasificación disponibles para residuos de construcción y demolición. </w:t>
      </w:r>
    </w:p>
    <w:p w14:paraId="44B96714" w14:textId="77777777" w:rsidR="006545C7" w:rsidRPr="00A8736B" w:rsidRDefault="006545C7" w:rsidP="006545C7">
      <w:pPr>
        <w:pStyle w:val="Estilo3"/>
        <w:numPr>
          <w:ilvl w:val="7"/>
          <w:numId w:val="7"/>
        </w:numPr>
        <w:ind w:left="1054" w:hanging="357"/>
        <w:rPr>
          <w:rFonts w:asciiTheme="minorHAnsi" w:hAnsiTheme="minorHAnsi"/>
        </w:rPr>
      </w:pPr>
      <w:r w:rsidRPr="00A8736B">
        <w:rPr>
          <w:rFonts w:asciiTheme="minorHAnsi" w:hAnsiTheme="minorHAnsi"/>
        </w:rPr>
        <w:t xml:space="preserve">Los diseños de los edificios y las técnicas de construcción apoyen la circularidad en lo referido a la norma ISO 20887 para evaluar la capacidad de desmontaje o adaptabilidad de los edificios, cómo estos están diseñados para ser más eficientes en el uso de los recursos, adaptables, flexibles y desmontables para permitir la reutilización y el reciclaje. </w:t>
      </w:r>
    </w:p>
    <w:p w14:paraId="17B4502C" w14:textId="77777777" w:rsidR="006545C7" w:rsidRPr="00A8736B" w:rsidRDefault="006545C7" w:rsidP="006545C7">
      <w:pPr>
        <w:pStyle w:val="Estilo3"/>
        <w:numPr>
          <w:ilvl w:val="7"/>
          <w:numId w:val="7"/>
        </w:numPr>
        <w:ind w:left="1054" w:hanging="357"/>
        <w:rPr>
          <w:rFonts w:asciiTheme="minorHAnsi" w:hAnsiTheme="minorHAnsi"/>
        </w:rPr>
      </w:pPr>
      <w:r w:rsidRPr="00A8736B">
        <w:rPr>
          <w:rFonts w:asciiTheme="minorHAnsi" w:hAnsiTheme="minorHAnsi"/>
        </w:rPr>
        <w:t xml:space="preserve">Los componentes y materiales de construcción utilizados en el desarrollo de las actuaciones previstas en esta medida no contengan amianto ni sustancias muy preocupantes identificadas a partir de la lista de sustancias sujetas a autorización que figura en el anexo XIV del Reglamento (CE) 1907/2006. </w:t>
      </w:r>
    </w:p>
    <w:p w14:paraId="7B745CA8" w14:textId="77777777" w:rsidR="006545C7" w:rsidRPr="00A8736B" w:rsidRDefault="006545C7" w:rsidP="006545C7">
      <w:pPr>
        <w:pStyle w:val="Estilo3"/>
        <w:numPr>
          <w:ilvl w:val="7"/>
          <w:numId w:val="7"/>
        </w:numPr>
        <w:ind w:left="1054" w:hanging="357"/>
        <w:contextualSpacing w:val="0"/>
        <w:rPr>
          <w:rFonts w:asciiTheme="minorHAnsi" w:hAnsiTheme="minorHAnsi"/>
        </w:rPr>
      </w:pPr>
      <w:r w:rsidRPr="00A8736B">
        <w:rPr>
          <w:rFonts w:asciiTheme="minorHAnsi" w:hAnsiTheme="minorHAnsi"/>
        </w:rPr>
        <w:t>Adoptarán medidas para reducir el ruido, el polvo y las emisiones contaminantes durante la fase de obra y se ejecutarán las actuaciones asociadas a esta medida cumpliendo la normativa vigente en cuanto la posible contaminación de suelos y agua.</w:t>
      </w:r>
    </w:p>
    <w:p w14:paraId="3A138D78" w14:textId="77777777" w:rsidR="006545C7" w:rsidRPr="00A8736B" w:rsidRDefault="006545C7" w:rsidP="006545C7">
      <w:pPr>
        <w:pStyle w:val="Estilo3"/>
        <w:ind w:left="714" w:hanging="357"/>
        <w:contextualSpacing w:val="0"/>
        <w:rPr>
          <w:rFonts w:asciiTheme="minorHAnsi" w:hAnsiTheme="minorHAnsi"/>
        </w:rPr>
      </w:pPr>
      <w:r w:rsidRPr="00A8736B">
        <w:rPr>
          <w:rFonts w:asciiTheme="minorHAnsi" w:hAnsiTheme="minorHAnsi"/>
        </w:rPr>
        <w:t>En aquellas actuaciones que impliquen demolición, practicarán una demolición selectiva.</w:t>
      </w:r>
    </w:p>
    <w:p w14:paraId="1B2718ED" w14:textId="77777777" w:rsidR="006545C7" w:rsidRPr="00A8736B" w:rsidRDefault="006545C7" w:rsidP="006545C7">
      <w:pPr>
        <w:pStyle w:val="Estilo3"/>
        <w:ind w:left="714" w:hanging="357"/>
        <w:contextualSpacing w:val="0"/>
        <w:rPr>
          <w:rFonts w:asciiTheme="minorHAnsi" w:hAnsiTheme="minorHAnsi"/>
        </w:rPr>
      </w:pPr>
      <w:r w:rsidRPr="00A8736B">
        <w:rPr>
          <w:rFonts w:asciiTheme="minorHAnsi" w:hAnsiTheme="minorHAnsi"/>
        </w:rPr>
        <w:t>En aquellas actuaciones relativas a equipamiento e instalaciones e infraestructuras de IT, los beneficiarios garantizarán, en función de las características de la misma, que no se perjudique a ninguno de los seis objetivos medioambientales definidos en dicho reglamento y se comprometerán a que:</w:t>
      </w:r>
    </w:p>
    <w:p w14:paraId="45F3F7E4" w14:textId="77777777" w:rsidR="006545C7" w:rsidRPr="00A8736B" w:rsidRDefault="006545C7" w:rsidP="006545C7">
      <w:pPr>
        <w:pStyle w:val="Estilo3"/>
        <w:numPr>
          <w:ilvl w:val="7"/>
          <w:numId w:val="7"/>
        </w:numPr>
        <w:ind w:left="1054" w:hanging="357"/>
        <w:contextualSpacing w:val="0"/>
        <w:rPr>
          <w:rFonts w:asciiTheme="minorHAnsi" w:hAnsiTheme="minorHAnsi"/>
        </w:rPr>
      </w:pPr>
      <w:r w:rsidRPr="00A8736B">
        <w:rPr>
          <w:rFonts w:asciiTheme="minorHAnsi" w:hAnsiTheme="minorHAnsi"/>
        </w:rPr>
        <w:t xml:space="preserve">Los equipos que se utilicen cumplirán con los requisitos relacionados con el consumo energético establecidos de acuerdo con la Directiva 2009/125/EC para servidores y almacenamiento de datos, o computadoras y servidores de computadoras o pantallas electrónicas. Para la instalación de las infraestructuras IT, se seguirá la versión más reciente del Código de conducta europeo sobre eficiencia energética de centros de datos, o en el documento CEN-CENELEC CLC </w:t>
      </w:r>
      <w:r w:rsidRPr="00A8736B">
        <w:rPr>
          <w:rFonts w:asciiTheme="minorHAnsi" w:hAnsiTheme="minorHAnsi"/>
        </w:rPr>
        <w:lastRenderedPageBreak/>
        <w:t>TR50600-99-1 "Instalaciones e infraestructuras de centros de datos - Parte 99-1: Prácticas recomendadas para la gestión energética”.</w:t>
      </w:r>
    </w:p>
    <w:p w14:paraId="3B79BDB8" w14:textId="77777777" w:rsidR="006545C7" w:rsidRPr="00A8736B" w:rsidRDefault="006545C7" w:rsidP="006545C7">
      <w:pPr>
        <w:pStyle w:val="Estilo3"/>
        <w:numPr>
          <w:ilvl w:val="7"/>
          <w:numId w:val="7"/>
        </w:numPr>
        <w:ind w:left="1054" w:hanging="357"/>
        <w:contextualSpacing w:val="0"/>
        <w:rPr>
          <w:rFonts w:asciiTheme="minorHAnsi" w:hAnsiTheme="minorHAnsi"/>
        </w:rPr>
      </w:pPr>
      <w:r w:rsidRPr="00A8736B">
        <w:rPr>
          <w:rFonts w:asciiTheme="minorHAnsi" w:hAnsiTheme="minorHAnsi"/>
        </w:rPr>
        <w:t>Se realizará una evaluación del riesgo climático y la vulnerabilidad de las instalaciones de infraestructuras IT y en su caso, se establecerán las soluciones de adaptación adecuadas para cada caso.</w:t>
      </w:r>
    </w:p>
    <w:p w14:paraId="48701828" w14:textId="77777777" w:rsidR="006545C7" w:rsidRPr="00A8736B" w:rsidRDefault="006545C7" w:rsidP="006545C7">
      <w:pPr>
        <w:pStyle w:val="Estilo3"/>
        <w:numPr>
          <w:ilvl w:val="7"/>
          <w:numId w:val="7"/>
        </w:numPr>
        <w:ind w:left="1054" w:hanging="357"/>
        <w:contextualSpacing w:val="0"/>
        <w:rPr>
          <w:rFonts w:asciiTheme="minorHAnsi" w:hAnsiTheme="minorHAnsi"/>
        </w:rPr>
      </w:pPr>
      <w:r w:rsidRPr="00A8736B">
        <w:rPr>
          <w:rFonts w:asciiTheme="minorHAnsi" w:hAnsiTheme="minorHAnsi"/>
        </w:rPr>
        <w:t>Los riesgos de degradación ambiental relacionados con la conservación de la calidad del agua y la prevención del estrés hídrico se identificarán y abordarán con el objetivo de lograr un buen estado del agua y un buen potencial ecológico, tal como se define en el artículo 2, puntos 22 y 23, del Reglamento (UE) 2020/852, de conformidad con la Directiva 2000/60/CE del Parlamento Europeo y del Consejo y un plan de gestión del uso y la protección del agua, desarrollado en virtud de la misma para la masa o masas de agua potencialmente afectadas, en consulta con las partes interesadas pertinentes. Se incluirá como requisito de implementación de las actuaciones incluidas en esta medida no se van a realizar infraestructuras que puedan alterar la hidrología.</w:t>
      </w:r>
    </w:p>
    <w:p w14:paraId="0F5B87FB" w14:textId="77777777" w:rsidR="006545C7" w:rsidRPr="00A8736B" w:rsidRDefault="006545C7" w:rsidP="006545C7">
      <w:pPr>
        <w:pStyle w:val="Estilo3"/>
        <w:numPr>
          <w:ilvl w:val="7"/>
          <w:numId w:val="7"/>
        </w:numPr>
        <w:ind w:left="1054" w:hanging="357"/>
        <w:contextualSpacing w:val="0"/>
        <w:rPr>
          <w:rFonts w:asciiTheme="minorHAnsi" w:hAnsiTheme="minorHAnsi"/>
        </w:rPr>
      </w:pPr>
      <w:r w:rsidRPr="00A8736B">
        <w:rPr>
          <w:rFonts w:asciiTheme="minorHAnsi" w:hAnsiTheme="minorHAnsi"/>
        </w:rPr>
        <w:t xml:space="preserve">Los equipos utilizados cumplirán con los requisitos de eficiencia de materiales establecidos de acuerdo con la Directiva 2009/125/EC para servidores y almacenamiento de datos, u ordenadores y servidores de ordenadores o pantallas electrónicas. Los equipos no contendrán las sustancias restringidas enumeradas en el anexo II de la Directiva 2011/65/UE, excepto cuando los valores de concentración en peso en materiales homogéneos no superen los enumerados en dicho anexo. Al final de su vida útil, el equipo se someterá a una preparación para operaciones de reutilización, recuperación o reciclaje, o un tratamiento adecuado, incluida la eliminación de todos los fluidos y un tratamiento selectivo de acuerdo con el Anexo VII de la Directiva 2012/19/UE. </w:t>
      </w:r>
    </w:p>
    <w:p w14:paraId="457C6CAB" w14:textId="77777777" w:rsidR="006545C7" w:rsidRPr="00A8736B" w:rsidRDefault="006545C7" w:rsidP="006545C7">
      <w:pPr>
        <w:pStyle w:val="Prrafodelista"/>
        <w:pBdr>
          <w:top w:val="nil"/>
          <w:left w:val="nil"/>
          <w:bottom w:val="nil"/>
          <w:right w:val="nil"/>
          <w:between w:val="nil"/>
        </w:pBdr>
        <w:spacing w:line="276" w:lineRule="auto"/>
        <w:ind w:left="1080"/>
        <w:jc w:val="both"/>
        <w:rPr>
          <w:rFonts w:asciiTheme="minorHAnsi" w:hAnsiTheme="minorHAnsi" w:cs="Arial"/>
          <w:sz w:val="22"/>
          <w:szCs w:val="22"/>
        </w:rPr>
      </w:pPr>
      <w:r w:rsidRPr="00A8736B">
        <w:rPr>
          <w:rFonts w:asciiTheme="minorHAnsi" w:hAnsiTheme="minorHAnsi" w:cs="Arial"/>
          <w:sz w:val="22"/>
          <w:szCs w:val="22"/>
        </w:rPr>
        <w:t>Al menos el 70% (en peso) de los residuos de construcción y demolición no peligrosos (excluido el material natural mencionado en la categoría 17 05 04 en la Lista europea de residuos establecida por la Decisión 2000/532/EC) generados en las actuaciones previstas, será preparado para su reutilización, reciclaje y recuperación de otros materiales, incluidas las operaciones de relleno utilizando residuos para sustituir otros materiales, de acuerdo con la jerarquía de residuos y el Protocolo de gestión de residuos de construcción y demolición de la UE.</w:t>
      </w:r>
    </w:p>
    <w:p w14:paraId="5161B6B5" w14:textId="77777777" w:rsidR="006545C7" w:rsidRPr="00A8736B" w:rsidRDefault="006545C7" w:rsidP="006545C7">
      <w:pPr>
        <w:pStyle w:val="Prrafodelista"/>
        <w:pBdr>
          <w:top w:val="nil"/>
          <w:left w:val="nil"/>
          <w:bottom w:val="nil"/>
          <w:right w:val="nil"/>
          <w:between w:val="nil"/>
        </w:pBdr>
        <w:spacing w:before="120" w:line="276" w:lineRule="auto"/>
        <w:ind w:left="1077"/>
        <w:contextualSpacing w:val="0"/>
        <w:jc w:val="both"/>
        <w:rPr>
          <w:rFonts w:asciiTheme="minorHAnsi" w:hAnsiTheme="minorHAnsi" w:cs="Arial"/>
          <w:sz w:val="22"/>
          <w:szCs w:val="22"/>
        </w:rPr>
      </w:pPr>
      <w:r w:rsidRPr="00A8736B">
        <w:rPr>
          <w:rFonts w:asciiTheme="minorHAnsi" w:hAnsiTheme="minorHAnsi" w:cs="Arial"/>
          <w:sz w:val="22"/>
          <w:szCs w:val="22"/>
        </w:rPr>
        <w:t>Los agentes encargados de la construcción de las infraestructuras IT, limitarán la generación de residuos en los procesos relacionados con la construcción y demolición, de conformidad con el Protocolo de gestión de residuos de construcción y demolición de la UE y teniendo en cuenta las mejores técnicas disponibles y utilizando la demolición selectiva para permitir la eliminación y manipulación segura de sustancias peligrosas y facilitar la reutilización y reciclaje de alta calidad mediante la eliminación selectiva de materiales, utilizando los sistemas de clasificación disponibles para residuos de construcción y demolición.</w:t>
      </w:r>
    </w:p>
    <w:p w14:paraId="2CAB2EBF" w14:textId="77777777" w:rsidR="006545C7" w:rsidRPr="00A8736B" w:rsidRDefault="006545C7" w:rsidP="006545C7">
      <w:pPr>
        <w:pStyle w:val="Prrafodelista"/>
        <w:pBdr>
          <w:top w:val="nil"/>
          <w:left w:val="nil"/>
          <w:bottom w:val="nil"/>
          <w:right w:val="nil"/>
          <w:between w:val="nil"/>
        </w:pBdr>
        <w:spacing w:before="120" w:line="276" w:lineRule="auto"/>
        <w:ind w:left="1077"/>
        <w:contextualSpacing w:val="0"/>
        <w:jc w:val="both"/>
        <w:rPr>
          <w:rFonts w:asciiTheme="minorHAnsi" w:hAnsiTheme="minorHAnsi" w:cs="Arial"/>
          <w:sz w:val="22"/>
          <w:szCs w:val="22"/>
        </w:rPr>
      </w:pPr>
      <w:r w:rsidRPr="00A8736B">
        <w:rPr>
          <w:rFonts w:asciiTheme="minorHAnsi" w:hAnsiTheme="minorHAnsi" w:cs="Arial"/>
          <w:sz w:val="22"/>
          <w:szCs w:val="22"/>
        </w:rPr>
        <w:t xml:space="preserve">Los diseños de los edificios y las técnicas de construcción apoyarán la circularidad en lo referido a la norma ISO 20887 para evaluar la capacidad de desmontaje o adaptabilidad de los edificios, </w:t>
      </w:r>
      <w:r w:rsidRPr="00A8736B">
        <w:rPr>
          <w:rFonts w:asciiTheme="minorHAnsi" w:hAnsiTheme="minorHAnsi" w:cs="Arial"/>
          <w:sz w:val="22"/>
          <w:szCs w:val="22"/>
        </w:rPr>
        <w:lastRenderedPageBreak/>
        <w:t>cómo estos están diseñados para ser más eficientes en el uso de los recursos, adaptables, flexibles y desmontables para permitir la reutilización y el reciclaje.</w:t>
      </w:r>
    </w:p>
    <w:p w14:paraId="3E2D2BEE" w14:textId="77777777" w:rsidR="006545C7" w:rsidRPr="00A8736B" w:rsidRDefault="006545C7" w:rsidP="006545C7">
      <w:pPr>
        <w:pStyle w:val="Prrafodelista"/>
        <w:pBdr>
          <w:top w:val="nil"/>
          <w:left w:val="nil"/>
          <w:bottom w:val="nil"/>
          <w:right w:val="nil"/>
          <w:between w:val="nil"/>
        </w:pBdr>
        <w:spacing w:line="276" w:lineRule="auto"/>
        <w:ind w:left="1080"/>
        <w:jc w:val="both"/>
        <w:rPr>
          <w:rFonts w:asciiTheme="minorHAnsi" w:hAnsiTheme="minorHAnsi" w:cs="Arial"/>
          <w:sz w:val="22"/>
          <w:szCs w:val="22"/>
        </w:rPr>
      </w:pPr>
    </w:p>
    <w:p w14:paraId="65FB1B6E" w14:textId="77777777" w:rsidR="006545C7" w:rsidRPr="00A8736B" w:rsidRDefault="006545C7" w:rsidP="006545C7">
      <w:pPr>
        <w:pStyle w:val="Estilo3"/>
        <w:keepLines/>
        <w:numPr>
          <w:ilvl w:val="7"/>
          <w:numId w:val="7"/>
        </w:numPr>
        <w:ind w:left="1054" w:hanging="357"/>
        <w:contextualSpacing w:val="0"/>
        <w:rPr>
          <w:rFonts w:asciiTheme="minorHAnsi" w:eastAsiaTheme="minorHAnsi" w:hAnsiTheme="minorHAnsi"/>
          <w:b/>
          <w:bCs/>
        </w:rPr>
      </w:pPr>
      <w:r w:rsidRPr="00A8736B">
        <w:rPr>
          <w:rFonts w:asciiTheme="minorHAnsi" w:hAnsiTheme="minorHAnsi"/>
        </w:rPr>
        <w:t>Se asegurará que las instalaciones de infraestructuras IT no afectarán negativamente a las buenas condiciones y la resiliencia de los ecosistemas, tampoco al estado de conservación de los hábitats y las especies, en particular los espacios de interés de la Unión. Por ello cuando sea preceptivo, se realizará la Evaluación de Impacto medioambiental, de acuerdo con lo establecido en la Directiva 2011/92/EU.</w:t>
      </w:r>
    </w:p>
    <w:p w14:paraId="6D584039" w14:textId="77777777" w:rsidR="006545C7" w:rsidRPr="00A8736B" w:rsidRDefault="006545C7" w:rsidP="006545C7">
      <w:pPr>
        <w:autoSpaceDE w:val="0"/>
        <w:autoSpaceDN w:val="0"/>
        <w:adjustRightInd w:val="0"/>
        <w:spacing w:before="240" w:after="120" w:line="264" w:lineRule="auto"/>
        <w:jc w:val="both"/>
        <w:rPr>
          <w:rFonts w:asciiTheme="minorHAnsi" w:eastAsiaTheme="minorHAnsi" w:hAnsiTheme="minorHAnsi" w:cs="Arial"/>
          <w:color w:val="000000"/>
          <w:sz w:val="22"/>
          <w:szCs w:val="22"/>
        </w:rPr>
      </w:pPr>
      <w:r w:rsidRPr="00A8736B">
        <w:rPr>
          <w:rFonts w:asciiTheme="minorHAnsi" w:eastAsiaTheme="minorHAnsi" w:hAnsiTheme="minorHAnsi" w:cs="Arial"/>
          <w:bCs/>
          <w:sz w:val="22"/>
          <w:szCs w:val="22"/>
        </w:rPr>
        <w:t>C.</w:t>
      </w:r>
      <w:r w:rsidRPr="00A8736B">
        <w:rPr>
          <w:rFonts w:asciiTheme="minorHAnsi" w:eastAsiaTheme="minorHAnsi" w:hAnsiTheme="minorHAnsi" w:cs="Arial"/>
          <w:color w:val="000000"/>
          <w:sz w:val="22"/>
          <w:szCs w:val="22"/>
        </w:rPr>
        <w:t xml:space="preserve"> Las actividades que se desarrollan en el proyecto cumplirán la normativa medioambiental vigente que resulte de aplicación. Entre otras: </w:t>
      </w:r>
    </w:p>
    <w:p w14:paraId="6DA4AECF" w14:textId="77777777" w:rsidR="006545C7" w:rsidRPr="00A8736B" w:rsidRDefault="006545C7" w:rsidP="006545C7">
      <w:pPr>
        <w:autoSpaceDE w:val="0"/>
        <w:autoSpaceDN w:val="0"/>
        <w:adjustRightInd w:val="0"/>
        <w:spacing w:before="240" w:after="120" w:line="264" w:lineRule="auto"/>
        <w:jc w:val="both"/>
        <w:rPr>
          <w:rFonts w:asciiTheme="minorHAnsi" w:eastAsiaTheme="minorHAnsi" w:hAnsiTheme="minorHAnsi" w:cs="Arial"/>
          <w:color w:val="000000"/>
          <w:sz w:val="22"/>
          <w:szCs w:val="22"/>
        </w:rPr>
      </w:pPr>
      <w:r w:rsidRPr="00A8736B">
        <w:rPr>
          <w:rFonts w:asciiTheme="minorHAnsi" w:eastAsiaTheme="minorHAnsi" w:hAnsiTheme="minorHAnsi" w:cs="Arial"/>
          <w:color w:val="000000"/>
          <w:sz w:val="22"/>
          <w:szCs w:val="22"/>
        </w:rPr>
        <w:t>El Reglamento (UE) 2020/852 del Parlamento Europeo y del Consejo de 18 de junio de 2020 relativo al establecimiento de un marco para facilitar las inversiones sostenibles y por el que se modifica el Reglamento (UE) 2019/2088.</w:t>
      </w:r>
    </w:p>
    <w:p w14:paraId="61D32ED0" w14:textId="77777777" w:rsidR="006545C7" w:rsidRPr="00A8736B" w:rsidRDefault="006545C7" w:rsidP="006545C7">
      <w:pPr>
        <w:autoSpaceDE w:val="0"/>
        <w:autoSpaceDN w:val="0"/>
        <w:adjustRightInd w:val="0"/>
        <w:spacing w:before="240" w:after="120" w:line="264" w:lineRule="auto"/>
        <w:jc w:val="both"/>
        <w:rPr>
          <w:rFonts w:asciiTheme="minorHAnsi" w:eastAsiaTheme="minorHAnsi" w:hAnsiTheme="minorHAnsi" w:cs="Arial"/>
          <w:color w:val="000000"/>
          <w:sz w:val="22"/>
          <w:szCs w:val="22"/>
        </w:rPr>
      </w:pPr>
      <w:r w:rsidRPr="00A8736B">
        <w:rPr>
          <w:rFonts w:asciiTheme="minorHAnsi" w:eastAsiaTheme="minorHAnsi" w:hAnsiTheme="minorHAnsi" w:cs="Arial"/>
          <w:bCs/>
          <w:sz w:val="22"/>
          <w:szCs w:val="22"/>
        </w:rPr>
        <w:t>D.</w:t>
      </w:r>
      <w:r w:rsidRPr="00A8736B">
        <w:rPr>
          <w:rFonts w:asciiTheme="minorHAnsi" w:eastAsiaTheme="minorHAnsi" w:hAnsiTheme="minorHAnsi" w:cs="Arial"/>
          <w:b/>
          <w:bCs/>
          <w:color w:val="96C21F"/>
          <w:sz w:val="22"/>
          <w:szCs w:val="22"/>
        </w:rPr>
        <w:t xml:space="preserve"> </w:t>
      </w:r>
      <w:r w:rsidRPr="00A8736B">
        <w:rPr>
          <w:rFonts w:asciiTheme="minorHAnsi" w:eastAsiaTheme="minorHAnsi" w:hAnsiTheme="minorHAnsi" w:cs="Arial"/>
          <w:color w:val="000000"/>
          <w:sz w:val="22"/>
          <w:szCs w:val="22"/>
        </w:rPr>
        <w:t>Las actividades que se desarrollan en el proyecto no están excluidas para su financiación por el Plan al cumplir el principio DNSH conforme a la Guía técnica sobre la aplicación del principio de «no causar un perjuicio significativo» en virtud del Reglamento relativo al Mecanismo de Recuperación y Resiliencia (2021/C 58/01)</w:t>
      </w:r>
      <w:r w:rsidRPr="00A8736B">
        <w:rPr>
          <w:rStyle w:val="Refdenotaalpie"/>
          <w:rFonts w:asciiTheme="minorHAnsi" w:eastAsiaTheme="minorHAnsi" w:hAnsiTheme="minorHAnsi" w:cs="Arial"/>
          <w:color w:val="000000"/>
          <w:sz w:val="22"/>
          <w:szCs w:val="22"/>
        </w:rPr>
        <w:footnoteReference w:id="3"/>
      </w:r>
      <w:r w:rsidRPr="00A8736B">
        <w:rPr>
          <w:rFonts w:asciiTheme="minorHAnsi" w:eastAsiaTheme="minorHAnsi" w:hAnsiTheme="minorHAnsi" w:cs="Arial"/>
          <w:color w:val="000000"/>
          <w:sz w:val="22"/>
          <w:szCs w:val="22"/>
        </w:rPr>
        <w:t>, a la Propuesta de Decisión de Ejecución del Consejo relativa a la aprobación de la evaluación del Plan de Recuperación y Resiliencia de España y a su correspondiente Anexo</w:t>
      </w:r>
      <w:r w:rsidRPr="00A8736B">
        <w:rPr>
          <w:rStyle w:val="Refdenotaalpie"/>
          <w:rFonts w:asciiTheme="minorHAnsi" w:eastAsiaTheme="minorHAnsi" w:hAnsiTheme="minorHAnsi" w:cs="Arial"/>
          <w:color w:val="000000"/>
          <w:sz w:val="22"/>
          <w:szCs w:val="22"/>
        </w:rPr>
        <w:footnoteReference w:id="4"/>
      </w:r>
      <w:r w:rsidRPr="00A8736B">
        <w:rPr>
          <w:rFonts w:asciiTheme="minorHAnsi" w:eastAsiaTheme="minorHAnsi" w:hAnsiTheme="minorHAnsi" w:cs="Arial"/>
          <w:color w:val="000000"/>
          <w:sz w:val="22"/>
          <w:szCs w:val="22"/>
        </w:rPr>
        <w:t>.</w:t>
      </w:r>
    </w:p>
    <w:p w14:paraId="7DB7C5E3" w14:textId="77777777" w:rsidR="006545C7" w:rsidRPr="00A8736B" w:rsidRDefault="006545C7" w:rsidP="006545C7">
      <w:pPr>
        <w:autoSpaceDE w:val="0"/>
        <w:autoSpaceDN w:val="0"/>
        <w:adjustRightInd w:val="0"/>
        <w:spacing w:before="240" w:after="120" w:line="264" w:lineRule="auto"/>
        <w:jc w:val="both"/>
        <w:rPr>
          <w:rFonts w:asciiTheme="minorHAnsi" w:eastAsiaTheme="minorHAnsi" w:hAnsiTheme="minorHAnsi" w:cs="Arial"/>
          <w:color w:val="000000"/>
          <w:sz w:val="22"/>
          <w:szCs w:val="22"/>
        </w:rPr>
      </w:pPr>
      <w:r w:rsidRPr="00A8736B">
        <w:rPr>
          <w:rFonts w:asciiTheme="minorHAnsi" w:eastAsiaTheme="minorHAnsi" w:hAnsiTheme="minorHAnsi" w:cs="Arial"/>
          <w:color w:val="000000"/>
          <w:sz w:val="22"/>
          <w:szCs w:val="22"/>
        </w:rPr>
        <w:t>Las actividades excluidas son:</w:t>
      </w:r>
    </w:p>
    <w:p w14:paraId="0E2F9DFD" w14:textId="77777777" w:rsidR="006545C7" w:rsidRPr="00A8736B" w:rsidRDefault="006545C7" w:rsidP="006545C7">
      <w:pPr>
        <w:pStyle w:val="Prrafodelista"/>
        <w:numPr>
          <w:ilvl w:val="0"/>
          <w:numId w:val="6"/>
        </w:numPr>
        <w:autoSpaceDE w:val="0"/>
        <w:autoSpaceDN w:val="0"/>
        <w:adjustRightInd w:val="0"/>
        <w:spacing w:before="60" w:after="60" w:line="264" w:lineRule="auto"/>
        <w:ind w:left="357" w:hanging="357"/>
        <w:contextualSpacing w:val="0"/>
        <w:jc w:val="both"/>
        <w:rPr>
          <w:rFonts w:asciiTheme="minorHAnsi" w:eastAsiaTheme="minorHAnsi" w:hAnsiTheme="minorHAnsi" w:cs="Arial"/>
          <w:color w:val="000000"/>
          <w:sz w:val="22"/>
          <w:szCs w:val="22"/>
        </w:rPr>
      </w:pPr>
      <w:r w:rsidRPr="00A8736B">
        <w:rPr>
          <w:rFonts w:asciiTheme="minorHAnsi" w:eastAsiaTheme="minorHAnsi" w:hAnsiTheme="minorHAnsi" w:cs="Arial"/>
          <w:color w:val="000000"/>
          <w:sz w:val="22"/>
          <w:szCs w:val="22"/>
        </w:rPr>
        <w:t>Construcción de refinerías de crudo, centrales térmicas de carbón y proyectos que impliquen la extracción de petróleo o gas natural, debido al perjuicio al objetivo de mitigación del cambio climático.</w:t>
      </w:r>
    </w:p>
    <w:p w14:paraId="53CCA496" w14:textId="77777777" w:rsidR="006545C7" w:rsidRPr="00A8736B" w:rsidRDefault="006545C7" w:rsidP="006545C7">
      <w:pPr>
        <w:pStyle w:val="Prrafodelista"/>
        <w:numPr>
          <w:ilvl w:val="0"/>
          <w:numId w:val="6"/>
        </w:numPr>
        <w:autoSpaceDE w:val="0"/>
        <w:autoSpaceDN w:val="0"/>
        <w:adjustRightInd w:val="0"/>
        <w:spacing w:before="60" w:after="60" w:line="264" w:lineRule="auto"/>
        <w:ind w:left="357" w:hanging="357"/>
        <w:contextualSpacing w:val="0"/>
        <w:jc w:val="both"/>
        <w:rPr>
          <w:rFonts w:asciiTheme="minorHAnsi" w:eastAsiaTheme="minorHAnsi" w:hAnsiTheme="minorHAnsi" w:cs="Arial"/>
          <w:color w:val="000000"/>
          <w:sz w:val="22"/>
          <w:szCs w:val="22"/>
        </w:rPr>
      </w:pPr>
      <w:r w:rsidRPr="00A8736B">
        <w:rPr>
          <w:rFonts w:asciiTheme="minorHAnsi" w:eastAsiaTheme="minorHAnsi" w:hAnsiTheme="minorHAnsi" w:cs="Arial"/>
          <w:color w:val="000000"/>
          <w:sz w:val="22"/>
          <w:szCs w:val="22"/>
        </w:rPr>
        <w:t>Actividades relacionadas con los combustibles fósiles, incluida la utilización ulterior de los mismos, excepto los proyectos relacionados con la generación de electricidad y/o calor utilizando gas natural, así como con la infraestructura de transporte y distribución conexa, que cumplan las condiciones establecidas en el Anexo III de la Guía Técnica de la Comisión Europea.</w:t>
      </w:r>
    </w:p>
    <w:p w14:paraId="6CD2F8BD" w14:textId="77777777" w:rsidR="006545C7" w:rsidRPr="00A8736B" w:rsidRDefault="006545C7" w:rsidP="006545C7">
      <w:pPr>
        <w:pStyle w:val="Prrafodelista"/>
        <w:numPr>
          <w:ilvl w:val="0"/>
          <w:numId w:val="6"/>
        </w:numPr>
        <w:autoSpaceDE w:val="0"/>
        <w:autoSpaceDN w:val="0"/>
        <w:adjustRightInd w:val="0"/>
        <w:spacing w:before="60" w:after="60" w:line="264" w:lineRule="auto"/>
        <w:ind w:left="357" w:hanging="357"/>
        <w:contextualSpacing w:val="0"/>
        <w:jc w:val="both"/>
        <w:rPr>
          <w:rFonts w:asciiTheme="minorHAnsi" w:eastAsiaTheme="minorHAnsi" w:hAnsiTheme="minorHAnsi" w:cs="Arial"/>
          <w:color w:val="000000"/>
          <w:sz w:val="22"/>
          <w:szCs w:val="22"/>
        </w:rPr>
      </w:pPr>
      <w:r w:rsidRPr="00A8736B">
        <w:rPr>
          <w:rFonts w:asciiTheme="minorHAnsi" w:eastAsiaTheme="minorHAnsi" w:hAnsiTheme="minorHAnsi" w:cs="Arial"/>
          <w:color w:val="000000"/>
          <w:sz w:val="22"/>
          <w:szCs w:val="22"/>
        </w:rPr>
        <w:t>Actividades y activos en el marco del régimen de comercio de derechos de emisión de la UE (RCDE) en relación con las cuales se prevea que las emisiones de gases de efecto invernadero que van a provocar no se situarán por debajo de los parámetros de referencia pertinentes. Cuando se prevea que las emisiones de gases de efecto invernadero provocadas por la actividad subvencionada no van a ser significativamente inferiores a los parámetros de referencia, deberá facilitarse una explicación motivada al respecto.</w:t>
      </w:r>
    </w:p>
    <w:p w14:paraId="749D5A3A" w14:textId="77777777" w:rsidR="006545C7" w:rsidRPr="00A8736B" w:rsidRDefault="006545C7" w:rsidP="006545C7">
      <w:pPr>
        <w:pStyle w:val="Prrafodelista"/>
        <w:numPr>
          <w:ilvl w:val="0"/>
          <w:numId w:val="6"/>
        </w:numPr>
        <w:autoSpaceDE w:val="0"/>
        <w:autoSpaceDN w:val="0"/>
        <w:adjustRightInd w:val="0"/>
        <w:spacing w:before="60" w:after="60" w:line="264" w:lineRule="auto"/>
        <w:ind w:left="357" w:hanging="357"/>
        <w:contextualSpacing w:val="0"/>
        <w:jc w:val="both"/>
        <w:rPr>
          <w:rFonts w:asciiTheme="minorHAnsi" w:eastAsiaTheme="minorHAnsi" w:hAnsiTheme="minorHAnsi" w:cs="Arial"/>
          <w:color w:val="000000"/>
          <w:sz w:val="22"/>
          <w:szCs w:val="22"/>
        </w:rPr>
      </w:pPr>
      <w:r w:rsidRPr="00A8736B">
        <w:rPr>
          <w:rFonts w:asciiTheme="minorHAnsi" w:eastAsiaTheme="minorHAnsi" w:hAnsiTheme="minorHAnsi" w:cs="Arial"/>
          <w:color w:val="000000"/>
          <w:sz w:val="22"/>
          <w:szCs w:val="22"/>
        </w:rPr>
        <w:t>Compensación de los costes indirectos del RCDE.</w:t>
      </w:r>
    </w:p>
    <w:p w14:paraId="539B4EBE" w14:textId="77777777" w:rsidR="006545C7" w:rsidRPr="00A8736B" w:rsidRDefault="006545C7" w:rsidP="006545C7">
      <w:pPr>
        <w:pStyle w:val="Prrafodelista"/>
        <w:numPr>
          <w:ilvl w:val="0"/>
          <w:numId w:val="6"/>
        </w:numPr>
        <w:autoSpaceDE w:val="0"/>
        <w:autoSpaceDN w:val="0"/>
        <w:adjustRightInd w:val="0"/>
        <w:spacing w:before="60" w:after="60" w:line="264" w:lineRule="auto"/>
        <w:ind w:left="357" w:hanging="357"/>
        <w:contextualSpacing w:val="0"/>
        <w:jc w:val="both"/>
        <w:rPr>
          <w:rFonts w:asciiTheme="minorHAnsi" w:eastAsiaTheme="minorHAnsi" w:hAnsiTheme="minorHAnsi" w:cs="Arial"/>
          <w:color w:val="000000"/>
          <w:sz w:val="22"/>
          <w:szCs w:val="22"/>
        </w:rPr>
      </w:pPr>
      <w:r w:rsidRPr="00A8736B">
        <w:rPr>
          <w:rFonts w:asciiTheme="minorHAnsi" w:eastAsiaTheme="minorHAnsi" w:hAnsiTheme="minorHAnsi" w:cs="Arial"/>
          <w:color w:val="000000"/>
          <w:sz w:val="22"/>
          <w:szCs w:val="22"/>
        </w:rPr>
        <w:t xml:space="preserve">Actividades relacionadas con vertederos de residuos e incineradoras, esta exclusión no se aplica a las acciones en plantas dedicadas exclusivamente al tratamiento de residuos peligrosos no reciclables, ni en las plantas existentes, cuando dichas acciones tengan por objeto aumentar la eficiencia energética, capturar los gases de escape para su almacenamiento o utilización, o recuperar materiales de las cenizas de incineración, siempre que tales acciones no conlleven un aumento de la capacidad de </w:t>
      </w:r>
      <w:r w:rsidRPr="00A8736B">
        <w:rPr>
          <w:rFonts w:asciiTheme="minorHAnsi" w:eastAsiaTheme="minorHAnsi" w:hAnsiTheme="minorHAnsi" w:cs="Arial"/>
          <w:color w:val="000000"/>
          <w:sz w:val="22"/>
          <w:szCs w:val="22"/>
        </w:rPr>
        <w:lastRenderedPageBreak/>
        <w:t>tratamiento de residuos de las plantas o a una prolongación de su vida útil; estos pormenores deberán justificarse documentalmente para cada planta.</w:t>
      </w:r>
    </w:p>
    <w:p w14:paraId="0828A99E" w14:textId="77777777" w:rsidR="006545C7" w:rsidRPr="00A8736B" w:rsidRDefault="006545C7" w:rsidP="006545C7">
      <w:pPr>
        <w:pStyle w:val="Prrafodelista"/>
        <w:keepLines/>
        <w:numPr>
          <w:ilvl w:val="0"/>
          <w:numId w:val="6"/>
        </w:numPr>
        <w:autoSpaceDE w:val="0"/>
        <w:autoSpaceDN w:val="0"/>
        <w:adjustRightInd w:val="0"/>
        <w:spacing w:before="60" w:after="60" w:line="264" w:lineRule="auto"/>
        <w:ind w:left="357" w:hanging="357"/>
        <w:contextualSpacing w:val="0"/>
        <w:jc w:val="both"/>
        <w:rPr>
          <w:rFonts w:asciiTheme="minorHAnsi" w:eastAsiaTheme="minorHAnsi" w:hAnsiTheme="minorHAnsi" w:cs="Arial"/>
          <w:color w:val="000000"/>
          <w:sz w:val="22"/>
          <w:szCs w:val="22"/>
        </w:rPr>
      </w:pPr>
      <w:r w:rsidRPr="00A8736B">
        <w:rPr>
          <w:rFonts w:asciiTheme="minorHAnsi" w:eastAsiaTheme="minorHAnsi" w:hAnsiTheme="minorHAnsi" w:cs="Arial"/>
          <w:color w:val="000000"/>
          <w:sz w:val="22"/>
          <w:szCs w:val="22"/>
        </w:rPr>
        <w:t xml:space="preserve">Actividades relacionadas con plantas de tratamiento mecánico-biológico, esta exclusión no se aplica a las acciones en plantas de tratamiento mecánico-biológico existentes, cuando dichas acciones tengan por objeto aumentar su eficiencia energética o su reacondicionamiento para operaciones de reciclaje de residuos separados, como el compostaje y la digestión anaerobia de </w:t>
      </w:r>
      <w:proofErr w:type="spellStart"/>
      <w:r w:rsidRPr="00A8736B">
        <w:rPr>
          <w:rFonts w:asciiTheme="minorHAnsi" w:eastAsiaTheme="minorHAnsi" w:hAnsiTheme="minorHAnsi" w:cs="Arial"/>
          <w:color w:val="000000"/>
          <w:sz w:val="22"/>
          <w:szCs w:val="22"/>
        </w:rPr>
        <w:t>biorresiduos</w:t>
      </w:r>
      <w:proofErr w:type="spellEnd"/>
      <w:r w:rsidRPr="00A8736B">
        <w:rPr>
          <w:rFonts w:asciiTheme="minorHAnsi" w:eastAsiaTheme="minorHAnsi" w:hAnsiTheme="minorHAnsi" w:cs="Arial"/>
          <w:color w:val="000000"/>
          <w:sz w:val="22"/>
          <w:szCs w:val="22"/>
        </w:rPr>
        <w:t>, siempre que tales acciones no conlleven un aumento de la capacidad de tratamiento de residuos de las plantas o a una prolongación de su vida útil; estos pormenores deberán justificarse documentalmente para cada planta.</w:t>
      </w:r>
    </w:p>
    <w:p w14:paraId="1AFFB6AB" w14:textId="77777777" w:rsidR="006545C7" w:rsidRPr="00A8736B" w:rsidRDefault="006545C7" w:rsidP="006545C7">
      <w:pPr>
        <w:pStyle w:val="Prrafodelista"/>
        <w:numPr>
          <w:ilvl w:val="0"/>
          <w:numId w:val="6"/>
        </w:numPr>
        <w:autoSpaceDE w:val="0"/>
        <w:autoSpaceDN w:val="0"/>
        <w:adjustRightInd w:val="0"/>
        <w:spacing w:before="60" w:after="60" w:line="264" w:lineRule="auto"/>
        <w:ind w:left="357" w:hanging="357"/>
        <w:contextualSpacing w:val="0"/>
        <w:jc w:val="both"/>
        <w:rPr>
          <w:rFonts w:asciiTheme="minorHAnsi" w:eastAsiaTheme="minorHAnsi" w:hAnsiTheme="minorHAnsi" w:cs="Arial"/>
          <w:color w:val="000000"/>
          <w:sz w:val="22"/>
          <w:szCs w:val="22"/>
        </w:rPr>
      </w:pPr>
      <w:r w:rsidRPr="00A8736B">
        <w:rPr>
          <w:rFonts w:asciiTheme="minorHAnsi" w:eastAsiaTheme="minorHAnsi" w:hAnsiTheme="minorHAnsi" w:cs="Arial"/>
          <w:color w:val="000000"/>
          <w:sz w:val="22"/>
          <w:szCs w:val="22"/>
        </w:rPr>
        <w:t>Actividades en las que la eliminación a largo plazo de residuos pueda causar daños al medio ambiente.</w:t>
      </w:r>
    </w:p>
    <w:p w14:paraId="5F0F6E4C" w14:textId="77777777" w:rsidR="006545C7" w:rsidRPr="00A8736B" w:rsidRDefault="006545C7" w:rsidP="006545C7">
      <w:pPr>
        <w:autoSpaceDE w:val="0"/>
        <w:autoSpaceDN w:val="0"/>
        <w:adjustRightInd w:val="0"/>
        <w:spacing w:before="240" w:after="120" w:line="264" w:lineRule="auto"/>
        <w:jc w:val="both"/>
        <w:rPr>
          <w:rFonts w:asciiTheme="minorHAnsi" w:eastAsiaTheme="minorHAnsi" w:hAnsiTheme="minorHAnsi" w:cs="Arial"/>
          <w:color w:val="000000"/>
          <w:sz w:val="22"/>
          <w:szCs w:val="22"/>
        </w:rPr>
      </w:pPr>
      <w:r w:rsidRPr="00A8736B">
        <w:rPr>
          <w:rFonts w:asciiTheme="minorHAnsi" w:eastAsiaTheme="minorHAnsi" w:hAnsiTheme="minorHAnsi" w:cs="Arial"/>
          <w:bCs/>
          <w:sz w:val="22"/>
          <w:szCs w:val="22"/>
        </w:rPr>
        <w:t>E.</w:t>
      </w:r>
      <w:r w:rsidRPr="00A8736B">
        <w:rPr>
          <w:rFonts w:asciiTheme="minorHAnsi" w:eastAsiaTheme="minorHAnsi" w:hAnsiTheme="minorHAnsi" w:cs="Arial"/>
          <w:b/>
          <w:bCs/>
          <w:color w:val="96C21F"/>
          <w:sz w:val="22"/>
          <w:szCs w:val="22"/>
        </w:rPr>
        <w:t xml:space="preserve"> </w:t>
      </w:r>
      <w:r w:rsidRPr="00A8736B">
        <w:rPr>
          <w:rFonts w:asciiTheme="minorHAnsi" w:eastAsiaTheme="minorHAnsi" w:hAnsiTheme="minorHAnsi" w:cs="Arial"/>
          <w:color w:val="000000"/>
          <w:sz w:val="22"/>
          <w:szCs w:val="22"/>
        </w:rPr>
        <w:t>Las actividades que se desarrollan no causan efectos directos sobre el medioambiente, ni efectos indirectos primarios en todo su ciclo de vida, entendiendo como tales aquéllos que pudieran materializarse tras su finalización, una vez realizada la actividad.</w:t>
      </w:r>
    </w:p>
    <w:p w14:paraId="6E0751F1" w14:textId="77777777" w:rsidR="006545C7" w:rsidRPr="00A8736B" w:rsidRDefault="006545C7" w:rsidP="006545C7">
      <w:pPr>
        <w:autoSpaceDE w:val="0"/>
        <w:autoSpaceDN w:val="0"/>
        <w:adjustRightInd w:val="0"/>
        <w:spacing w:before="240" w:after="120" w:line="264" w:lineRule="auto"/>
        <w:jc w:val="both"/>
        <w:rPr>
          <w:rFonts w:asciiTheme="minorHAnsi" w:eastAsiaTheme="minorHAnsi" w:hAnsiTheme="minorHAnsi" w:cs="Arial"/>
          <w:color w:val="000000"/>
          <w:sz w:val="22"/>
          <w:szCs w:val="22"/>
        </w:rPr>
      </w:pPr>
      <w:r w:rsidRPr="00A8736B">
        <w:rPr>
          <w:rFonts w:asciiTheme="minorHAnsi" w:eastAsiaTheme="minorHAnsi" w:hAnsiTheme="minorHAnsi" w:cs="Arial"/>
          <w:color w:val="000000"/>
          <w:sz w:val="22"/>
          <w:szCs w:val="22"/>
        </w:rPr>
        <w:t>El incumplimiento de alguno de los requisitos establecidos en la presente declaración dará lugar a la obligación de devolver las cantidades percibidas y los intereses de demora correspondientes.</w:t>
      </w:r>
    </w:p>
    <w:p w14:paraId="29DF7FD1" w14:textId="77777777" w:rsidR="006545C7" w:rsidRPr="00A8736B" w:rsidRDefault="006545C7" w:rsidP="006545C7">
      <w:pPr>
        <w:autoSpaceDE w:val="0"/>
        <w:autoSpaceDN w:val="0"/>
        <w:adjustRightInd w:val="0"/>
        <w:spacing w:before="360" w:after="120" w:line="264" w:lineRule="auto"/>
        <w:jc w:val="both"/>
        <w:rPr>
          <w:rFonts w:asciiTheme="minorHAnsi" w:eastAsiaTheme="minorHAnsi" w:hAnsiTheme="minorHAnsi" w:cs="Arial"/>
          <w:b/>
          <w:bCs/>
          <w:color w:val="000000"/>
          <w:sz w:val="22"/>
          <w:szCs w:val="22"/>
        </w:rPr>
      </w:pPr>
      <w:r w:rsidRPr="00A8736B">
        <w:rPr>
          <w:rFonts w:asciiTheme="minorHAnsi" w:eastAsiaTheme="minorHAnsi" w:hAnsiTheme="minorHAnsi" w:cs="Arial"/>
          <w:b/>
          <w:bCs/>
          <w:color w:val="000000"/>
          <w:sz w:val="22"/>
          <w:szCs w:val="22"/>
        </w:rPr>
        <w:t>Fecha:</w:t>
      </w:r>
    </w:p>
    <w:p w14:paraId="1373BE42" w14:textId="64337C7B" w:rsidR="006545C7" w:rsidRDefault="006545C7" w:rsidP="00EF1BB8">
      <w:pPr>
        <w:autoSpaceDE w:val="0"/>
        <w:autoSpaceDN w:val="0"/>
        <w:adjustRightInd w:val="0"/>
        <w:spacing w:before="1200" w:after="120" w:line="264" w:lineRule="auto"/>
        <w:jc w:val="both"/>
        <w:rPr>
          <w:rFonts w:asciiTheme="minorHAnsi" w:eastAsiaTheme="minorHAnsi" w:hAnsiTheme="minorHAnsi" w:cs="Arial"/>
          <w:b/>
          <w:bCs/>
          <w:color w:val="000000"/>
          <w:sz w:val="22"/>
          <w:szCs w:val="22"/>
        </w:rPr>
      </w:pPr>
      <w:r w:rsidRPr="00A8736B">
        <w:rPr>
          <w:rFonts w:asciiTheme="minorHAnsi" w:eastAsiaTheme="minorHAnsi" w:hAnsiTheme="minorHAnsi" w:cs="Arial"/>
          <w:b/>
          <w:bCs/>
          <w:color w:val="000000"/>
          <w:sz w:val="22"/>
          <w:szCs w:val="22"/>
        </w:rPr>
        <w:t>Firma:</w:t>
      </w:r>
    </w:p>
    <w:sectPr w:rsidR="006545C7" w:rsidSect="00A8736B">
      <w:headerReference w:type="default" r:id="rId8"/>
      <w:footerReference w:type="default" r:id="rId9"/>
      <w:pgSz w:w="11906" w:h="16838"/>
      <w:pgMar w:top="1417" w:right="991" w:bottom="1135" w:left="1418" w:header="708" w:footer="494"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97B8AEB" w14:textId="77777777" w:rsidR="00BB1433" w:rsidRDefault="00BB1433" w:rsidP="005D50AA">
      <w:r>
        <w:separator/>
      </w:r>
    </w:p>
  </w:endnote>
  <w:endnote w:type="continuationSeparator" w:id="0">
    <w:p w14:paraId="0E5C48FA" w14:textId="77777777" w:rsidR="00BB1433" w:rsidRDefault="00BB1433" w:rsidP="005D50AA">
      <w:r>
        <w:continuationSeparator/>
      </w:r>
    </w:p>
  </w:endnote>
  <w:endnote w:type="continuationNotice" w:id="1">
    <w:p w14:paraId="1018690A" w14:textId="77777777" w:rsidR="00BB1433" w:rsidRDefault="00BB1433"/>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gency FB">
    <w:altName w:val="Malgun Gothic"/>
    <w:charset w:val="00"/>
    <w:family w:val="swiss"/>
    <w:pitch w:val="variable"/>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Gill Sans">
    <w:altName w:val="Verdana"/>
    <w:charset w:val="00"/>
    <w:family w:val="swiss"/>
    <w:pitch w:val="variable"/>
    <w:sig w:usb0="00000007" w:usb1="00000000" w:usb2="00000000" w:usb3="00000000" w:csb0="00000093" w:csb1="00000000"/>
  </w:font>
  <w:font w:name="Gill Sans MT">
    <w:altName w:val="Bahnschrift Light"/>
    <w:charset w:val="00"/>
    <w:family w:val="swiss"/>
    <w:pitch w:val="variable"/>
    <w:sig w:usb0="00000007" w:usb1="00000000" w:usb2="00000000" w:usb3="00000000" w:csb0="00000003"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rFonts w:asciiTheme="minorHAnsi" w:hAnsiTheme="minorHAnsi" w:cstheme="minorHAnsi"/>
        <w:sz w:val="18"/>
      </w:rPr>
      <w:id w:val="1897703584"/>
      <w:docPartObj>
        <w:docPartGallery w:val="Page Numbers (Bottom of Page)"/>
        <w:docPartUnique/>
      </w:docPartObj>
    </w:sdtPr>
    <w:sdtEndPr/>
    <w:sdtContent>
      <w:p w14:paraId="35C0DCC3" w14:textId="71497618" w:rsidR="005D50AA" w:rsidRPr="00F0105D" w:rsidRDefault="005D50AA" w:rsidP="00F0105D">
        <w:pPr>
          <w:pStyle w:val="Piedepgina"/>
          <w:jc w:val="right"/>
          <w:rPr>
            <w:rFonts w:asciiTheme="minorHAnsi" w:hAnsiTheme="minorHAnsi" w:cstheme="minorHAnsi"/>
            <w:sz w:val="18"/>
          </w:rPr>
        </w:pPr>
        <w:r w:rsidRPr="00F0105D">
          <w:rPr>
            <w:rFonts w:asciiTheme="minorHAnsi" w:hAnsiTheme="minorHAnsi" w:cstheme="minorHAnsi"/>
            <w:sz w:val="18"/>
          </w:rPr>
          <w:fldChar w:fldCharType="begin"/>
        </w:r>
        <w:r w:rsidRPr="00F0105D">
          <w:rPr>
            <w:rFonts w:asciiTheme="minorHAnsi" w:hAnsiTheme="minorHAnsi" w:cstheme="minorHAnsi"/>
            <w:sz w:val="18"/>
          </w:rPr>
          <w:instrText>PAGE   \* MERGEFORMAT</w:instrText>
        </w:r>
        <w:r w:rsidRPr="00F0105D">
          <w:rPr>
            <w:rFonts w:asciiTheme="minorHAnsi" w:hAnsiTheme="minorHAnsi" w:cstheme="minorHAnsi"/>
            <w:sz w:val="18"/>
          </w:rPr>
          <w:fldChar w:fldCharType="separate"/>
        </w:r>
        <w:r w:rsidR="00FB5F91">
          <w:rPr>
            <w:rFonts w:asciiTheme="minorHAnsi" w:hAnsiTheme="minorHAnsi" w:cstheme="minorHAnsi"/>
            <w:noProof/>
            <w:sz w:val="18"/>
          </w:rPr>
          <w:t>6</w:t>
        </w:r>
        <w:r w:rsidRPr="00F0105D">
          <w:rPr>
            <w:rFonts w:asciiTheme="minorHAnsi" w:hAnsiTheme="minorHAnsi" w:cstheme="minorHAnsi"/>
            <w:sz w:val="18"/>
          </w:rPr>
          <w:fldChar w:fldCharType="end"/>
        </w:r>
      </w:p>
    </w:sdtContent>
  </w:sdt>
  <w:p w14:paraId="42E1FF47" w14:textId="77777777" w:rsidR="005D50AA" w:rsidRDefault="005D50AA">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CC12234" w14:textId="77777777" w:rsidR="00BB1433" w:rsidRDefault="00BB1433" w:rsidP="005D50AA">
      <w:r>
        <w:separator/>
      </w:r>
    </w:p>
  </w:footnote>
  <w:footnote w:type="continuationSeparator" w:id="0">
    <w:p w14:paraId="08AFE9C4" w14:textId="77777777" w:rsidR="00BB1433" w:rsidRDefault="00BB1433" w:rsidP="005D50AA">
      <w:r>
        <w:continuationSeparator/>
      </w:r>
    </w:p>
  </w:footnote>
  <w:footnote w:type="continuationNotice" w:id="1">
    <w:p w14:paraId="40BCDA31" w14:textId="77777777" w:rsidR="00BB1433" w:rsidRDefault="00BB1433"/>
  </w:footnote>
  <w:footnote w:id="2">
    <w:p w14:paraId="26A2773F" w14:textId="77777777" w:rsidR="006545C7" w:rsidRPr="007A3948" w:rsidRDefault="006545C7" w:rsidP="006545C7">
      <w:pPr>
        <w:pStyle w:val="Textonotapie"/>
        <w:rPr>
          <w:rFonts w:cstheme="minorHAnsi"/>
          <w:sz w:val="16"/>
          <w:szCs w:val="16"/>
        </w:rPr>
      </w:pPr>
      <w:r w:rsidRPr="007A3948">
        <w:rPr>
          <w:rStyle w:val="Refdenotaalpie"/>
          <w:rFonts w:cstheme="minorHAnsi"/>
          <w:sz w:val="16"/>
        </w:rPr>
        <w:footnoteRef/>
      </w:r>
      <w:r w:rsidRPr="007A3948">
        <w:rPr>
          <w:rFonts w:cstheme="minorHAnsi"/>
          <w:sz w:val="16"/>
        </w:rPr>
        <w:t xml:space="preserve"> </w:t>
      </w:r>
      <w:r>
        <w:rPr>
          <w:rFonts w:cstheme="minorHAnsi"/>
          <w:sz w:val="16"/>
        </w:rPr>
        <w:t>Modelo de declaración e</w:t>
      </w:r>
      <w:r w:rsidRPr="007A3948">
        <w:rPr>
          <w:rFonts w:cstheme="minorHAnsi"/>
          <w:sz w:val="16"/>
        </w:rPr>
        <w:t>laborad</w:t>
      </w:r>
      <w:r>
        <w:rPr>
          <w:rFonts w:cstheme="minorHAnsi"/>
          <w:sz w:val="16"/>
        </w:rPr>
        <w:t>o</w:t>
      </w:r>
      <w:r w:rsidRPr="007A3948">
        <w:rPr>
          <w:rFonts w:cstheme="minorHAnsi"/>
          <w:sz w:val="16"/>
        </w:rPr>
        <w:t xml:space="preserve"> conforme </w:t>
      </w:r>
      <w:r>
        <w:rPr>
          <w:rFonts w:cstheme="minorHAnsi"/>
          <w:sz w:val="16"/>
        </w:rPr>
        <w:t xml:space="preserve">a lo </w:t>
      </w:r>
      <w:r w:rsidRPr="007A3948">
        <w:rPr>
          <w:rFonts w:cstheme="minorHAnsi"/>
          <w:sz w:val="16"/>
        </w:rPr>
        <w:t xml:space="preserve">recogido en la “Guía para el diseño y desarrollo de actuaciones acordes con el principio de no causar un perjuicio significativo al medio ambiente” </w:t>
      </w:r>
      <w:hyperlink r:id="rId1" w:history="1">
        <w:r w:rsidRPr="00410E97">
          <w:rPr>
            <w:rStyle w:val="Hipervnculo"/>
            <w:rFonts w:cstheme="minorHAnsi"/>
            <w:sz w:val="16"/>
          </w:rPr>
          <w:t>https://www.miteco.gob.es/es/ministerio/recuperacion-transformacion-resiliencia/transicion-verde/guiadnshmitecov20_tcm30-528436.pdf</w:t>
        </w:r>
      </w:hyperlink>
      <w:r>
        <w:rPr>
          <w:rFonts w:cstheme="minorHAnsi"/>
          <w:sz w:val="16"/>
        </w:rPr>
        <w:t>, Anexo</w:t>
      </w:r>
      <w:r w:rsidRPr="007A3948">
        <w:rPr>
          <w:rFonts w:cstheme="minorHAnsi"/>
          <w:sz w:val="16"/>
          <w:szCs w:val="16"/>
        </w:rPr>
        <w:t xml:space="preserve"> III.</w:t>
      </w:r>
    </w:p>
  </w:footnote>
  <w:footnote w:id="3">
    <w:p w14:paraId="41C565A8" w14:textId="77777777" w:rsidR="006545C7" w:rsidRPr="007A3948" w:rsidRDefault="006545C7" w:rsidP="006545C7">
      <w:pPr>
        <w:pStyle w:val="Textonotapie"/>
        <w:rPr>
          <w:rFonts w:cstheme="minorHAnsi"/>
          <w:sz w:val="16"/>
          <w:szCs w:val="16"/>
        </w:rPr>
      </w:pPr>
      <w:r w:rsidRPr="007A3948">
        <w:rPr>
          <w:rStyle w:val="Refdenotaalpie"/>
          <w:rFonts w:cstheme="minorHAnsi"/>
          <w:sz w:val="16"/>
          <w:szCs w:val="16"/>
        </w:rPr>
        <w:footnoteRef/>
      </w:r>
      <w:r w:rsidRPr="007A3948">
        <w:rPr>
          <w:rFonts w:cstheme="minorHAnsi"/>
          <w:sz w:val="16"/>
          <w:szCs w:val="16"/>
        </w:rPr>
        <w:t xml:space="preserve"> </w:t>
      </w:r>
      <w:hyperlink r:id="rId2" w:history="1">
        <w:r w:rsidRPr="00410E97">
          <w:rPr>
            <w:rStyle w:val="Hipervnculo"/>
            <w:rFonts w:cstheme="minorHAnsi"/>
            <w:bCs/>
            <w:sz w:val="16"/>
            <w:szCs w:val="16"/>
          </w:rPr>
          <w:t>https://www.boe.es/buscar/doc.php?id=DOUE-Z-2021-70014</w:t>
        </w:r>
      </w:hyperlink>
    </w:p>
  </w:footnote>
  <w:footnote w:id="4">
    <w:p w14:paraId="4CD9B998" w14:textId="77777777" w:rsidR="006545C7" w:rsidRPr="007A3948" w:rsidRDefault="006545C7" w:rsidP="006545C7">
      <w:pPr>
        <w:pStyle w:val="Textonotapie"/>
      </w:pPr>
      <w:r w:rsidRPr="007A3948">
        <w:rPr>
          <w:rStyle w:val="Refdenotaalpie"/>
          <w:rFonts w:cstheme="minorHAnsi"/>
          <w:sz w:val="16"/>
          <w:szCs w:val="16"/>
        </w:rPr>
        <w:footnoteRef/>
      </w:r>
      <w:r w:rsidRPr="007A3948">
        <w:rPr>
          <w:rFonts w:cstheme="minorHAnsi"/>
          <w:sz w:val="16"/>
          <w:szCs w:val="16"/>
        </w:rPr>
        <w:t xml:space="preserve"> </w:t>
      </w:r>
      <w:hyperlink r:id="rId3" w:history="1">
        <w:r w:rsidRPr="00410E97">
          <w:rPr>
            <w:rStyle w:val="Hipervnculo"/>
            <w:rFonts w:cstheme="minorHAnsi"/>
            <w:bCs/>
            <w:sz w:val="16"/>
            <w:szCs w:val="16"/>
          </w:rPr>
          <w:t>https://eur-lex.europa.eu/legal-content/ES/TXT/PDF/?uri=CELEX:52021PC0322&amp;from=EN</w:t>
        </w:r>
      </w:hyperlink>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10348" w:type="dxa"/>
      <w:tblInd w:w="-284" w:type="dxa"/>
      <w:tblLayout w:type="fixed"/>
      <w:tblCellMar>
        <w:left w:w="56" w:type="dxa"/>
        <w:right w:w="56" w:type="dxa"/>
      </w:tblCellMar>
      <w:tblLook w:val="0000" w:firstRow="0" w:lastRow="0" w:firstColumn="0" w:lastColumn="0" w:noHBand="0" w:noVBand="0"/>
    </w:tblPr>
    <w:tblGrid>
      <w:gridCol w:w="3261"/>
      <w:gridCol w:w="284"/>
      <w:gridCol w:w="3685"/>
      <w:gridCol w:w="3118"/>
    </w:tblGrid>
    <w:tr w:rsidR="00D002C4" w14:paraId="12FF8DD4" w14:textId="77777777" w:rsidTr="006D2C43">
      <w:trPr>
        <w:cantSplit/>
        <w:trHeight w:val="1093"/>
      </w:trPr>
      <w:tc>
        <w:tcPr>
          <w:tcW w:w="3261" w:type="dxa"/>
          <w:vAlign w:val="center"/>
        </w:tcPr>
        <w:p w14:paraId="07359E68" w14:textId="77777777" w:rsidR="00D002C4" w:rsidRPr="00CB66A5" w:rsidRDefault="00D002C4" w:rsidP="00D002C4">
          <w:pPr>
            <w:ind w:left="-59"/>
            <w:jc w:val="center"/>
            <w:rPr>
              <w:rFonts w:ascii="Gill Sans" w:hAnsi="Gill Sans"/>
              <w:b/>
            </w:rPr>
          </w:pPr>
          <w:r w:rsidRPr="000D1C1D">
            <w:rPr>
              <w:rFonts w:ascii="Gill Sans MT" w:hAnsi="Gill Sans MT"/>
              <w:noProof/>
              <w:sz w:val="14"/>
              <w:szCs w:val="14"/>
              <w:lang w:eastAsia="es-ES"/>
            </w:rPr>
            <w:drawing>
              <wp:inline distT="0" distB="0" distL="0" distR="0" wp14:anchorId="70F0B9BB" wp14:editId="5E123238">
                <wp:extent cx="2060575" cy="532130"/>
                <wp:effectExtent l="0" t="0" r="0" b="1270"/>
                <wp:docPr id="16" name="Imagen 16" descr="ES Financiado por la Uni¢n Europea_BLAC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ES Financiado por la Uni¢n Europea_BLACK"/>
                        <pic:cNvPicPr>
                          <a:picLocks noChangeAspect="1" noChangeArrowheads="1"/>
                        </pic:cNvPicPr>
                      </pic:nvPicPr>
                      <pic:blipFill>
                        <a:blip r:embed="rId1">
                          <a:clrChange>
                            <a:clrFrom>
                              <a:srgbClr val="FFFEFD"/>
                            </a:clrFrom>
                            <a:clrTo>
                              <a:srgbClr val="FFFEFD">
                                <a:alpha val="0"/>
                              </a:srgbClr>
                            </a:clrTo>
                          </a:clrChange>
                          <a:extLst>
                            <a:ext uri="{28A0092B-C50C-407E-A947-70E740481C1C}">
                              <a14:useLocalDpi xmlns:a14="http://schemas.microsoft.com/office/drawing/2010/main" val="0"/>
                            </a:ext>
                          </a:extLst>
                        </a:blip>
                        <a:srcRect/>
                        <a:stretch>
                          <a:fillRect/>
                        </a:stretch>
                      </pic:blipFill>
                      <pic:spPr bwMode="auto">
                        <a:xfrm>
                          <a:off x="0" y="0"/>
                          <a:ext cx="2066516" cy="533664"/>
                        </a:xfrm>
                        <a:prstGeom prst="rect">
                          <a:avLst/>
                        </a:prstGeom>
                        <a:noFill/>
                        <a:ln>
                          <a:noFill/>
                        </a:ln>
                      </pic:spPr>
                    </pic:pic>
                  </a:graphicData>
                </a:graphic>
              </wp:inline>
            </w:drawing>
          </w:r>
        </w:p>
      </w:tc>
      <w:tc>
        <w:tcPr>
          <w:tcW w:w="284" w:type="dxa"/>
        </w:tcPr>
        <w:p w14:paraId="2F0AC330" w14:textId="77777777" w:rsidR="00D002C4" w:rsidRPr="00E15D48" w:rsidRDefault="00D002C4" w:rsidP="00D002C4">
          <w:pPr>
            <w:rPr>
              <w:rFonts w:ascii="Gill Sans MT" w:hAnsi="Gill Sans MT"/>
              <w:sz w:val="16"/>
              <w:szCs w:val="14"/>
            </w:rPr>
          </w:pPr>
        </w:p>
      </w:tc>
      <w:tc>
        <w:tcPr>
          <w:tcW w:w="3685" w:type="dxa"/>
        </w:tcPr>
        <w:p w14:paraId="4AEEE63F" w14:textId="77777777" w:rsidR="00D002C4" w:rsidRPr="000918D0" w:rsidRDefault="00D002C4" w:rsidP="00D002C4">
          <w:pPr>
            <w:rPr>
              <w:rFonts w:ascii="Gill Sans MT" w:hAnsi="Gill Sans MT"/>
              <w:sz w:val="14"/>
              <w:szCs w:val="14"/>
            </w:rPr>
          </w:pPr>
          <w:r>
            <w:rPr>
              <w:noProof/>
              <w:lang w:eastAsia="es-ES"/>
            </w:rPr>
            <w:drawing>
              <wp:inline distT="0" distB="0" distL="0" distR="0" wp14:anchorId="7B1D6EC6" wp14:editId="332F995E">
                <wp:extent cx="2301169" cy="852170"/>
                <wp:effectExtent l="0" t="0" r="4445" b="5080"/>
                <wp:docPr id="17" name="Imagen 17" descr="Logotipo, nombre de la empresa&#10;&#10;Descripción generada automáticamente con confianza medi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n 1" descr="Logotipo, nombre de la empresa&#10;&#10;Descripción generada automáticamente con confianza media"/>
                        <pic:cNvPicPr>
                          <a:picLocks noChangeAspect="1" noChangeArrowheads="1"/>
                        </pic:cNvPicPr>
                      </pic:nvPicPr>
                      <pic:blipFill rotWithShape="1">
                        <a:blip r:embed="rId2">
                          <a:extLst>
                            <a:ext uri="{28A0092B-C50C-407E-A947-70E740481C1C}">
                              <a14:useLocalDpi xmlns:a14="http://schemas.microsoft.com/office/drawing/2010/main"/>
                            </a:ext>
                          </a:extLst>
                        </a:blip>
                        <a:srcRect t="-13153"/>
                        <a:stretch/>
                      </pic:blipFill>
                      <pic:spPr bwMode="auto">
                        <a:xfrm>
                          <a:off x="0" y="0"/>
                          <a:ext cx="2308896" cy="855032"/>
                        </a:xfrm>
                        <a:prstGeom prst="rect">
                          <a:avLst/>
                        </a:prstGeom>
                        <a:noFill/>
                        <a:ln>
                          <a:noFill/>
                        </a:ln>
                        <a:extLst>
                          <a:ext uri="{53640926-AAD7-44D8-BBD7-CCE9431645EC}">
                            <a14:shadowObscured xmlns:a14="http://schemas.microsoft.com/office/drawing/2010/main"/>
                          </a:ext>
                        </a:extLst>
                      </pic:spPr>
                    </pic:pic>
                  </a:graphicData>
                </a:graphic>
              </wp:inline>
            </w:drawing>
          </w:r>
        </w:p>
      </w:tc>
      <w:tc>
        <w:tcPr>
          <w:tcW w:w="3118" w:type="dxa"/>
          <w:vAlign w:val="center"/>
        </w:tcPr>
        <w:p w14:paraId="4A03E89C" w14:textId="77777777" w:rsidR="00D002C4" w:rsidRPr="000D1C1D" w:rsidRDefault="00D002C4" w:rsidP="00D002C4">
          <w:pPr>
            <w:ind w:left="-1334" w:firstLine="1334"/>
            <w:rPr>
              <w:rFonts w:ascii="Gill Sans MT" w:hAnsi="Gill Sans MT"/>
              <w:sz w:val="14"/>
              <w:szCs w:val="14"/>
            </w:rPr>
          </w:pPr>
          <w:r w:rsidRPr="003B0973">
            <w:rPr>
              <w:rFonts w:ascii="Gill Sans MT" w:hAnsi="Gill Sans MT"/>
              <w:noProof/>
              <w:sz w:val="14"/>
              <w:szCs w:val="14"/>
              <w:lang w:eastAsia="es-ES"/>
            </w:rPr>
            <w:drawing>
              <wp:inline distT="0" distB="0" distL="0" distR="0" wp14:anchorId="441B734E" wp14:editId="6C234E1A">
                <wp:extent cx="1842135" cy="1036955"/>
                <wp:effectExtent l="0" t="0" r="5715" b="0"/>
                <wp:docPr id="18" name="Imagen 18" descr="Logo PRTR tres líneas_NEGR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Logo PRTR tres líneas_NEGRO"/>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1842135" cy="1036955"/>
                        </a:xfrm>
                        <a:prstGeom prst="rect">
                          <a:avLst/>
                        </a:prstGeom>
                        <a:noFill/>
                        <a:ln>
                          <a:noFill/>
                        </a:ln>
                      </pic:spPr>
                    </pic:pic>
                  </a:graphicData>
                </a:graphic>
              </wp:inline>
            </w:drawing>
          </w:r>
        </w:p>
      </w:tc>
    </w:tr>
  </w:tbl>
  <w:p w14:paraId="31648B1D" w14:textId="71F00A76" w:rsidR="00F83888" w:rsidRPr="00D33C95" w:rsidRDefault="00F83888" w:rsidP="00D33C95">
    <w:pPr>
      <w:pStyle w:val="Encabezado"/>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976DD"/>
    <w:multiLevelType w:val="hybridMultilevel"/>
    <w:tmpl w:val="952C66B0"/>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 w15:restartNumberingAfterBreak="0">
    <w:nsid w:val="0A366DCF"/>
    <w:multiLevelType w:val="hybridMultilevel"/>
    <w:tmpl w:val="BDE0C990"/>
    <w:lvl w:ilvl="0" w:tplc="92344010">
      <w:start w:val="1"/>
      <w:numFmt w:val="decimal"/>
      <w:lvlText w:val="%1."/>
      <w:lvlJc w:val="left"/>
      <w:pPr>
        <w:ind w:left="360" w:hanging="360"/>
      </w:pPr>
      <w:rPr>
        <w:rFonts w:hint="default"/>
        <w:b/>
        <w:i w:val="0"/>
        <w:color w:val="538135" w:themeColor="accent6" w:themeShade="BF"/>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 w15:restartNumberingAfterBreak="0">
    <w:nsid w:val="0E1A3F86"/>
    <w:multiLevelType w:val="multilevel"/>
    <w:tmpl w:val="711244E6"/>
    <w:lvl w:ilvl="0">
      <w:start w:val="1"/>
      <w:numFmt w:val="bullet"/>
      <w:lvlText w:val=""/>
      <w:lvlJc w:val="left"/>
      <w:pPr>
        <w:ind w:left="1068" w:hanging="360"/>
      </w:pPr>
      <w:rPr>
        <w:rFonts w:ascii="Symbol" w:hAnsi="Symbol" w:hint="default"/>
      </w:rPr>
    </w:lvl>
    <w:lvl w:ilvl="1">
      <w:start w:val="1"/>
      <w:numFmt w:val="decimal"/>
      <w:lvlText w:val="%1.%2."/>
      <w:lvlJc w:val="left"/>
      <w:pPr>
        <w:ind w:left="1500" w:hanging="432"/>
      </w:pPr>
    </w:lvl>
    <w:lvl w:ilvl="2">
      <w:start w:val="1"/>
      <w:numFmt w:val="decimal"/>
      <w:lvlText w:val="%1.%2.%3."/>
      <w:lvlJc w:val="left"/>
      <w:pPr>
        <w:ind w:left="1932" w:hanging="504"/>
      </w:pPr>
    </w:lvl>
    <w:lvl w:ilvl="3">
      <w:start w:val="1"/>
      <w:numFmt w:val="decimal"/>
      <w:lvlText w:val="%1.%2.%3.%4."/>
      <w:lvlJc w:val="left"/>
      <w:pPr>
        <w:ind w:left="2436" w:hanging="648"/>
      </w:pPr>
    </w:lvl>
    <w:lvl w:ilvl="4">
      <w:start w:val="1"/>
      <w:numFmt w:val="decimal"/>
      <w:lvlText w:val="%1.%2.%3.%4.%5."/>
      <w:lvlJc w:val="left"/>
      <w:pPr>
        <w:ind w:left="2940" w:hanging="792"/>
      </w:pPr>
    </w:lvl>
    <w:lvl w:ilvl="5">
      <w:start w:val="1"/>
      <w:numFmt w:val="decimal"/>
      <w:lvlText w:val="%1.%2.%3.%4.%5.%6."/>
      <w:lvlJc w:val="left"/>
      <w:pPr>
        <w:ind w:left="3444" w:hanging="936"/>
      </w:pPr>
    </w:lvl>
    <w:lvl w:ilvl="6">
      <w:start w:val="1"/>
      <w:numFmt w:val="decimal"/>
      <w:lvlText w:val="%1.%2.%3.%4.%5.%6.%7."/>
      <w:lvlJc w:val="left"/>
      <w:pPr>
        <w:ind w:left="3948" w:hanging="1080"/>
      </w:pPr>
    </w:lvl>
    <w:lvl w:ilvl="7">
      <w:start w:val="1"/>
      <w:numFmt w:val="decimal"/>
      <w:lvlText w:val="%1.%2.%3.%4.%5.%6.%7.%8."/>
      <w:lvlJc w:val="left"/>
      <w:pPr>
        <w:ind w:left="4452" w:hanging="1224"/>
      </w:pPr>
    </w:lvl>
    <w:lvl w:ilvl="8">
      <w:start w:val="1"/>
      <w:numFmt w:val="decimal"/>
      <w:lvlText w:val="%1.%2.%3.%4.%5.%6.%7.%8.%9."/>
      <w:lvlJc w:val="left"/>
      <w:pPr>
        <w:ind w:left="5028" w:hanging="1440"/>
      </w:pPr>
    </w:lvl>
  </w:abstractNum>
  <w:abstractNum w:abstractNumId="3" w15:restartNumberingAfterBreak="0">
    <w:nsid w:val="15E364CA"/>
    <w:multiLevelType w:val="multilevel"/>
    <w:tmpl w:val="ECF299AC"/>
    <w:lvl w:ilvl="0">
      <w:start w:val="1"/>
      <w:numFmt w:val="lowerLetter"/>
      <w:lvlText w:val="%1)"/>
      <w:lvlJc w:val="left"/>
      <w:pPr>
        <w:ind w:left="1068" w:hanging="360"/>
      </w:pPr>
    </w:lvl>
    <w:lvl w:ilvl="1">
      <w:start w:val="1"/>
      <w:numFmt w:val="decimal"/>
      <w:lvlText w:val="%1.%2."/>
      <w:lvlJc w:val="left"/>
      <w:pPr>
        <w:ind w:left="1500" w:hanging="432"/>
      </w:pPr>
    </w:lvl>
    <w:lvl w:ilvl="2">
      <w:start w:val="1"/>
      <w:numFmt w:val="decimal"/>
      <w:lvlText w:val="%1.%2.%3."/>
      <w:lvlJc w:val="left"/>
      <w:pPr>
        <w:ind w:left="1932" w:hanging="504"/>
      </w:pPr>
    </w:lvl>
    <w:lvl w:ilvl="3">
      <w:start w:val="1"/>
      <w:numFmt w:val="decimal"/>
      <w:lvlText w:val="%1.%2.%3.%4."/>
      <w:lvlJc w:val="left"/>
      <w:pPr>
        <w:ind w:left="2436" w:hanging="648"/>
      </w:pPr>
    </w:lvl>
    <w:lvl w:ilvl="4">
      <w:start w:val="1"/>
      <w:numFmt w:val="decimal"/>
      <w:lvlText w:val="%1.%2.%3.%4.%5."/>
      <w:lvlJc w:val="left"/>
      <w:pPr>
        <w:ind w:left="2940" w:hanging="792"/>
      </w:pPr>
    </w:lvl>
    <w:lvl w:ilvl="5">
      <w:start w:val="1"/>
      <w:numFmt w:val="decimal"/>
      <w:lvlText w:val="%1.%2.%3.%4.%5.%6."/>
      <w:lvlJc w:val="left"/>
      <w:pPr>
        <w:ind w:left="3444" w:hanging="936"/>
      </w:pPr>
    </w:lvl>
    <w:lvl w:ilvl="6">
      <w:start w:val="1"/>
      <w:numFmt w:val="decimal"/>
      <w:lvlText w:val="%1.%2.%3.%4.%5.%6.%7."/>
      <w:lvlJc w:val="left"/>
      <w:pPr>
        <w:ind w:left="3948" w:hanging="1080"/>
      </w:pPr>
    </w:lvl>
    <w:lvl w:ilvl="7">
      <w:start w:val="1"/>
      <w:numFmt w:val="decimal"/>
      <w:lvlText w:val="%1.%2.%3.%4.%5.%6.%7.%8."/>
      <w:lvlJc w:val="left"/>
      <w:pPr>
        <w:ind w:left="4452" w:hanging="1224"/>
      </w:pPr>
    </w:lvl>
    <w:lvl w:ilvl="8">
      <w:start w:val="1"/>
      <w:numFmt w:val="decimal"/>
      <w:lvlText w:val="%1.%2.%3.%4.%5.%6.%7.%8.%9."/>
      <w:lvlJc w:val="left"/>
      <w:pPr>
        <w:ind w:left="5028" w:hanging="1440"/>
      </w:pPr>
    </w:lvl>
  </w:abstractNum>
  <w:abstractNum w:abstractNumId="4" w15:restartNumberingAfterBreak="0">
    <w:nsid w:val="1A5E4C05"/>
    <w:multiLevelType w:val="hybridMultilevel"/>
    <w:tmpl w:val="58982582"/>
    <w:lvl w:ilvl="0" w:tplc="1E089BAA">
      <w:start w:val="1"/>
      <w:numFmt w:val="decimal"/>
      <w:lvlText w:val="%1."/>
      <w:lvlJc w:val="left"/>
      <w:pPr>
        <w:ind w:left="360" w:hanging="360"/>
      </w:pPr>
      <w:rPr>
        <w:rFonts w:hint="default"/>
        <w:b w:val="0"/>
        <w:i w:val="0"/>
        <w:color w:val="auto"/>
      </w:rPr>
    </w:lvl>
    <w:lvl w:ilvl="1" w:tplc="0C0A0019" w:tentative="1">
      <w:start w:val="1"/>
      <w:numFmt w:val="lowerLetter"/>
      <w:lvlText w:val="%2."/>
      <w:lvlJc w:val="left"/>
      <w:pPr>
        <w:ind w:left="1080" w:hanging="360"/>
      </w:pPr>
    </w:lvl>
    <w:lvl w:ilvl="2" w:tplc="0C0A001B" w:tentative="1">
      <w:start w:val="1"/>
      <w:numFmt w:val="lowerRoman"/>
      <w:lvlText w:val="%3."/>
      <w:lvlJc w:val="right"/>
      <w:pPr>
        <w:ind w:left="1800" w:hanging="180"/>
      </w:pPr>
    </w:lvl>
    <w:lvl w:ilvl="3" w:tplc="0C0A000F" w:tentative="1">
      <w:start w:val="1"/>
      <w:numFmt w:val="decimal"/>
      <w:lvlText w:val="%4."/>
      <w:lvlJc w:val="left"/>
      <w:pPr>
        <w:ind w:left="2520" w:hanging="360"/>
      </w:pPr>
    </w:lvl>
    <w:lvl w:ilvl="4" w:tplc="0C0A0019" w:tentative="1">
      <w:start w:val="1"/>
      <w:numFmt w:val="lowerLetter"/>
      <w:lvlText w:val="%5."/>
      <w:lvlJc w:val="left"/>
      <w:pPr>
        <w:ind w:left="3240" w:hanging="360"/>
      </w:pPr>
    </w:lvl>
    <w:lvl w:ilvl="5" w:tplc="0C0A001B" w:tentative="1">
      <w:start w:val="1"/>
      <w:numFmt w:val="lowerRoman"/>
      <w:lvlText w:val="%6."/>
      <w:lvlJc w:val="right"/>
      <w:pPr>
        <w:ind w:left="3960" w:hanging="180"/>
      </w:pPr>
    </w:lvl>
    <w:lvl w:ilvl="6" w:tplc="0C0A000F" w:tentative="1">
      <w:start w:val="1"/>
      <w:numFmt w:val="decimal"/>
      <w:lvlText w:val="%7."/>
      <w:lvlJc w:val="left"/>
      <w:pPr>
        <w:ind w:left="4680" w:hanging="360"/>
      </w:pPr>
    </w:lvl>
    <w:lvl w:ilvl="7" w:tplc="0C0A0019" w:tentative="1">
      <w:start w:val="1"/>
      <w:numFmt w:val="lowerLetter"/>
      <w:lvlText w:val="%8."/>
      <w:lvlJc w:val="left"/>
      <w:pPr>
        <w:ind w:left="5400" w:hanging="360"/>
      </w:pPr>
    </w:lvl>
    <w:lvl w:ilvl="8" w:tplc="0C0A001B" w:tentative="1">
      <w:start w:val="1"/>
      <w:numFmt w:val="lowerRoman"/>
      <w:lvlText w:val="%9."/>
      <w:lvlJc w:val="right"/>
      <w:pPr>
        <w:ind w:left="6120" w:hanging="180"/>
      </w:pPr>
    </w:lvl>
  </w:abstractNum>
  <w:abstractNum w:abstractNumId="5" w15:restartNumberingAfterBreak="0">
    <w:nsid w:val="371D1D82"/>
    <w:multiLevelType w:val="multilevel"/>
    <w:tmpl w:val="CE40E1BC"/>
    <w:lvl w:ilvl="0">
      <w:start w:val="1"/>
      <w:numFmt w:val="decimal"/>
      <w:lvlText w:val="%1."/>
      <w:lvlJc w:val="left"/>
      <w:pPr>
        <w:ind w:left="360" w:hanging="360"/>
      </w:pPr>
      <w:rPr>
        <w:i w:val="0"/>
        <w:iCs/>
        <w:u w:val="none"/>
      </w:rPr>
    </w:lvl>
    <w:lvl w:ilvl="1">
      <w:start w:val="1"/>
      <w:numFmt w:val="lowerLetter"/>
      <w:lvlText w:val="%2."/>
      <w:lvlJc w:val="left"/>
      <w:pPr>
        <w:ind w:left="1080" w:hanging="360"/>
      </w:pPr>
      <w:rPr>
        <w:u w:val="none"/>
      </w:rPr>
    </w:lvl>
    <w:lvl w:ilvl="2">
      <w:start w:val="1"/>
      <w:numFmt w:val="lowerRoman"/>
      <w:lvlText w:val="%3."/>
      <w:lvlJc w:val="right"/>
      <w:pPr>
        <w:ind w:left="1800" w:hanging="360"/>
      </w:pPr>
      <w:rPr>
        <w:u w:val="none"/>
      </w:rPr>
    </w:lvl>
    <w:lvl w:ilvl="3">
      <w:start w:val="1"/>
      <w:numFmt w:val="decimal"/>
      <w:lvlText w:val="%4."/>
      <w:lvlJc w:val="left"/>
      <w:pPr>
        <w:ind w:left="2520" w:hanging="360"/>
      </w:pPr>
      <w:rPr>
        <w:b/>
        <w:bCs/>
        <w:sz w:val="22"/>
        <w:szCs w:val="22"/>
        <w:u w:val="none"/>
      </w:rPr>
    </w:lvl>
    <w:lvl w:ilvl="4">
      <w:start w:val="1"/>
      <w:numFmt w:val="lowerLetter"/>
      <w:lvlText w:val="%5."/>
      <w:lvlJc w:val="left"/>
      <w:pPr>
        <w:ind w:left="3240" w:hanging="360"/>
      </w:pPr>
      <w:rPr>
        <w:u w:val="none"/>
      </w:rPr>
    </w:lvl>
    <w:lvl w:ilvl="5">
      <w:start w:val="1"/>
      <w:numFmt w:val="lowerRoman"/>
      <w:lvlText w:val="%6."/>
      <w:lvlJc w:val="right"/>
      <w:pPr>
        <w:ind w:left="3960" w:hanging="360"/>
      </w:pPr>
      <w:rPr>
        <w:u w:val="none"/>
      </w:rPr>
    </w:lvl>
    <w:lvl w:ilvl="6">
      <w:start w:val="1"/>
      <w:numFmt w:val="decimal"/>
      <w:pStyle w:val="Estilo3"/>
      <w:lvlText w:val="%7."/>
      <w:lvlJc w:val="left"/>
      <w:pPr>
        <w:ind w:left="284" w:hanging="360"/>
      </w:pPr>
      <w:rPr>
        <w:u w:val="none"/>
      </w:rPr>
    </w:lvl>
    <w:lvl w:ilvl="7">
      <w:start w:val="1"/>
      <w:numFmt w:val="ordinal"/>
      <w:lvlText w:val="%8."/>
      <w:lvlJc w:val="left"/>
      <w:pPr>
        <w:ind w:left="5400" w:hanging="360"/>
      </w:pPr>
      <w:rPr>
        <w:rFonts w:hint="default"/>
        <w:b w:val="0"/>
        <w:bCs w:val="0"/>
        <w:color w:val="auto"/>
        <w:u w:val="none"/>
      </w:rPr>
    </w:lvl>
    <w:lvl w:ilvl="8">
      <w:start w:val="1"/>
      <w:numFmt w:val="lowerRoman"/>
      <w:lvlText w:val="%9."/>
      <w:lvlJc w:val="right"/>
      <w:pPr>
        <w:ind w:left="6120" w:hanging="360"/>
      </w:pPr>
      <w:rPr>
        <w:u w:val="none"/>
      </w:rPr>
    </w:lvl>
  </w:abstractNum>
  <w:abstractNum w:abstractNumId="6" w15:restartNumberingAfterBreak="0">
    <w:nsid w:val="3F0B4E6E"/>
    <w:multiLevelType w:val="hybridMultilevel"/>
    <w:tmpl w:val="A7BA3B62"/>
    <w:lvl w:ilvl="0" w:tplc="D46E4222">
      <w:start w:val="1"/>
      <w:numFmt w:val="decimal"/>
      <w:lvlText w:val="%1."/>
      <w:lvlJc w:val="left"/>
      <w:pPr>
        <w:ind w:left="360" w:hanging="360"/>
      </w:pPr>
      <w:rPr>
        <w:rFonts w:hint="default"/>
        <w:b w:val="0"/>
        <w:i w:val="0"/>
        <w:color w:val="auto"/>
      </w:rPr>
    </w:lvl>
    <w:lvl w:ilvl="1" w:tplc="0C0A0019" w:tentative="1">
      <w:start w:val="1"/>
      <w:numFmt w:val="lowerLetter"/>
      <w:lvlText w:val="%2."/>
      <w:lvlJc w:val="left"/>
      <w:pPr>
        <w:ind w:left="1080" w:hanging="360"/>
      </w:pPr>
    </w:lvl>
    <w:lvl w:ilvl="2" w:tplc="0C0A001B" w:tentative="1">
      <w:start w:val="1"/>
      <w:numFmt w:val="lowerRoman"/>
      <w:lvlText w:val="%3."/>
      <w:lvlJc w:val="right"/>
      <w:pPr>
        <w:ind w:left="1800" w:hanging="180"/>
      </w:pPr>
    </w:lvl>
    <w:lvl w:ilvl="3" w:tplc="0C0A000F" w:tentative="1">
      <w:start w:val="1"/>
      <w:numFmt w:val="decimal"/>
      <w:lvlText w:val="%4."/>
      <w:lvlJc w:val="left"/>
      <w:pPr>
        <w:ind w:left="2520" w:hanging="360"/>
      </w:pPr>
    </w:lvl>
    <w:lvl w:ilvl="4" w:tplc="0C0A0019" w:tentative="1">
      <w:start w:val="1"/>
      <w:numFmt w:val="lowerLetter"/>
      <w:lvlText w:val="%5."/>
      <w:lvlJc w:val="left"/>
      <w:pPr>
        <w:ind w:left="3240" w:hanging="360"/>
      </w:pPr>
    </w:lvl>
    <w:lvl w:ilvl="5" w:tplc="0C0A001B" w:tentative="1">
      <w:start w:val="1"/>
      <w:numFmt w:val="lowerRoman"/>
      <w:lvlText w:val="%6."/>
      <w:lvlJc w:val="right"/>
      <w:pPr>
        <w:ind w:left="3960" w:hanging="180"/>
      </w:pPr>
    </w:lvl>
    <w:lvl w:ilvl="6" w:tplc="0C0A000F" w:tentative="1">
      <w:start w:val="1"/>
      <w:numFmt w:val="decimal"/>
      <w:lvlText w:val="%7."/>
      <w:lvlJc w:val="left"/>
      <w:pPr>
        <w:ind w:left="4680" w:hanging="360"/>
      </w:pPr>
    </w:lvl>
    <w:lvl w:ilvl="7" w:tplc="0C0A0019" w:tentative="1">
      <w:start w:val="1"/>
      <w:numFmt w:val="lowerLetter"/>
      <w:lvlText w:val="%8."/>
      <w:lvlJc w:val="left"/>
      <w:pPr>
        <w:ind w:left="5400" w:hanging="360"/>
      </w:pPr>
    </w:lvl>
    <w:lvl w:ilvl="8" w:tplc="0C0A001B" w:tentative="1">
      <w:start w:val="1"/>
      <w:numFmt w:val="lowerRoman"/>
      <w:lvlText w:val="%9."/>
      <w:lvlJc w:val="right"/>
      <w:pPr>
        <w:ind w:left="6120" w:hanging="180"/>
      </w:pPr>
    </w:lvl>
  </w:abstractNum>
  <w:abstractNum w:abstractNumId="7" w15:restartNumberingAfterBreak="0">
    <w:nsid w:val="7C8F464B"/>
    <w:multiLevelType w:val="multilevel"/>
    <w:tmpl w:val="0C0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 w15:restartNumberingAfterBreak="0">
    <w:nsid w:val="7F93779F"/>
    <w:multiLevelType w:val="hybridMultilevel"/>
    <w:tmpl w:val="9148FD64"/>
    <w:lvl w:ilvl="0" w:tplc="0C0A000F">
      <w:start w:val="1"/>
      <w:numFmt w:val="decimal"/>
      <w:lvlText w:val="%1."/>
      <w:lvlJc w:val="left"/>
      <w:pPr>
        <w:ind w:left="360" w:hanging="360"/>
      </w:pPr>
    </w:lvl>
    <w:lvl w:ilvl="1" w:tplc="0C0A0019" w:tentative="1">
      <w:start w:val="1"/>
      <w:numFmt w:val="lowerLetter"/>
      <w:lvlText w:val="%2."/>
      <w:lvlJc w:val="left"/>
      <w:pPr>
        <w:ind w:left="1080" w:hanging="360"/>
      </w:pPr>
    </w:lvl>
    <w:lvl w:ilvl="2" w:tplc="0C0A001B" w:tentative="1">
      <w:start w:val="1"/>
      <w:numFmt w:val="lowerRoman"/>
      <w:lvlText w:val="%3."/>
      <w:lvlJc w:val="right"/>
      <w:pPr>
        <w:ind w:left="1800" w:hanging="180"/>
      </w:pPr>
    </w:lvl>
    <w:lvl w:ilvl="3" w:tplc="0C0A000F" w:tentative="1">
      <w:start w:val="1"/>
      <w:numFmt w:val="decimal"/>
      <w:lvlText w:val="%4."/>
      <w:lvlJc w:val="left"/>
      <w:pPr>
        <w:ind w:left="2520" w:hanging="360"/>
      </w:pPr>
    </w:lvl>
    <w:lvl w:ilvl="4" w:tplc="0C0A0019" w:tentative="1">
      <w:start w:val="1"/>
      <w:numFmt w:val="lowerLetter"/>
      <w:lvlText w:val="%5."/>
      <w:lvlJc w:val="left"/>
      <w:pPr>
        <w:ind w:left="3240" w:hanging="360"/>
      </w:pPr>
    </w:lvl>
    <w:lvl w:ilvl="5" w:tplc="0C0A001B" w:tentative="1">
      <w:start w:val="1"/>
      <w:numFmt w:val="lowerRoman"/>
      <w:lvlText w:val="%6."/>
      <w:lvlJc w:val="right"/>
      <w:pPr>
        <w:ind w:left="3960" w:hanging="180"/>
      </w:pPr>
    </w:lvl>
    <w:lvl w:ilvl="6" w:tplc="0C0A000F" w:tentative="1">
      <w:start w:val="1"/>
      <w:numFmt w:val="decimal"/>
      <w:lvlText w:val="%7."/>
      <w:lvlJc w:val="left"/>
      <w:pPr>
        <w:ind w:left="4680" w:hanging="360"/>
      </w:pPr>
    </w:lvl>
    <w:lvl w:ilvl="7" w:tplc="0C0A0019" w:tentative="1">
      <w:start w:val="1"/>
      <w:numFmt w:val="lowerLetter"/>
      <w:lvlText w:val="%8."/>
      <w:lvlJc w:val="left"/>
      <w:pPr>
        <w:ind w:left="5400" w:hanging="360"/>
      </w:pPr>
    </w:lvl>
    <w:lvl w:ilvl="8" w:tplc="0C0A001B" w:tentative="1">
      <w:start w:val="1"/>
      <w:numFmt w:val="lowerRoman"/>
      <w:lvlText w:val="%9."/>
      <w:lvlJc w:val="right"/>
      <w:pPr>
        <w:ind w:left="6120" w:hanging="180"/>
      </w:pPr>
    </w:lvl>
  </w:abstractNum>
  <w:num w:numId="1">
    <w:abstractNumId w:val="8"/>
  </w:num>
  <w:num w:numId="2">
    <w:abstractNumId w:val="7"/>
  </w:num>
  <w:num w:numId="3">
    <w:abstractNumId w:val="3"/>
  </w:num>
  <w:num w:numId="4">
    <w:abstractNumId w:val="2"/>
  </w:num>
  <w:num w:numId="5">
    <w:abstractNumId w:val="6"/>
  </w:num>
  <w:num w:numId="6">
    <w:abstractNumId w:val="4"/>
  </w:num>
  <w:num w:numId="7">
    <w:abstractNumId w:val="5"/>
  </w:num>
  <w:num w:numId="8">
    <w:abstractNumId w:val="0"/>
  </w:num>
  <w:num w:numId="9">
    <w:abstractNumId w:val="1"/>
  </w:num>
  <w:num w:numId="10">
    <w:abstractNumId w:val="5"/>
  </w:num>
  <w:num w:numId="11">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removePersonalInformation/>
  <w:removeDateAndTime/>
  <w:proofState w:spelling="clean" w:grammar="clean"/>
  <w:defaultTabStop w:val="708"/>
  <w:hyphenationZone w:val="425"/>
  <w:characterSpacingControl w:val="doNotCompress"/>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D50AA"/>
    <w:rsid w:val="00010C5E"/>
    <w:rsid w:val="00033A93"/>
    <w:rsid w:val="000712B4"/>
    <w:rsid w:val="0009312D"/>
    <w:rsid w:val="000D548F"/>
    <w:rsid w:val="000E4B95"/>
    <w:rsid w:val="00115596"/>
    <w:rsid w:val="0016138E"/>
    <w:rsid w:val="001679FF"/>
    <w:rsid w:val="00177659"/>
    <w:rsid w:val="0018265C"/>
    <w:rsid w:val="001C16C2"/>
    <w:rsid w:val="001C5BC1"/>
    <w:rsid w:val="001D219A"/>
    <w:rsid w:val="001F5E44"/>
    <w:rsid w:val="00204749"/>
    <w:rsid w:val="00206DE5"/>
    <w:rsid w:val="00217D58"/>
    <w:rsid w:val="00221F0F"/>
    <w:rsid w:val="00225BF6"/>
    <w:rsid w:val="002573CA"/>
    <w:rsid w:val="00294FCE"/>
    <w:rsid w:val="002B2097"/>
    <w:rsid w:val="002D2AE8"/>
    <w:rsid w:val="002F43C6"/>
    <w:rsid w:val="0030337E"/>
    <w:rsid w:val="0031280E"/>
    <w:rsid w:val="0031500E"/>
    <w:rsid w:val="00321DC4"/>
    <w:rsid w:val="00344B34"/>
    <w:rsid w:val="003740CC"/>
    <w:rsid w:val="003A3A6B"/>
    <w:rsid w:val="003C1303"/>
    <w:rsid w:val="003F6BAF"/>
    <w:rsid w:val="004179AC"/>
    <w:rsid w:val="0045760E"/>
    <w:rsid w:val="00472C63"/>
    <w:rsid w:val="00484A72"/>
    <w:rsid w:val="004F0847"/>
    <w:rsid w:val="00545CA5"/>
    <w:rsid w:val="00553B13"/>
    <w:rsid w:val="00577879"/>
    <w:rsid w:val="005C19CE"/>
    <w:rsid w:val="005D50AA"/>
    <w:rsid w:val="005D7452"/>
    <w:rsid w:val="005E509E"/>
    <w:rsid w:val="00626968"/>
    <w:rsid w:val="00646E74"/>
    <w:rsid w:val="006545C7"/>
    <w:rsid w:val="006D2C43"/>
    <w:rsid w:val="006E6079"/>
    <w:rsid w:val="00732D68"/>
    <w:rsid w:val="007563C3"/>
    <w:rsid w:val="00794897"/>
    <w:rsid w:val="007A3948"/>
    <w:rsid w:val="007C1E68"/>
    <w:rsid w:val="007E7739"/>
    <w:rsid w:val="007F1B46"/>
    <w:rsid w:val="00845D7C"/>
    <w:rsid w:val="00860D1D"/>
    <w:rsid w:val="008718AE"/>
    <w:rsid w:val="008917C7"/>
    <w:rsid w:val="008D4553"/>
    <w:rsid w:val="008D47C9"/>
    <w:rsid w:val="008D4C3D"/>
    <w:rsid w:val="009761D0"/>
    <w:rsid w:val="00A20839"/>
    <w:rsid w:val="00A26FE3"/>
    <w:rsid w:val="00A30941"/>
    <w:rsid w:val="00A83C3D"/>
    <w:rsid w:val="00A841DB"/>
    <w:rsid w:val="00A8736B"/>
    <w:rsid w:val="00AB175E"/>
    <w:rsid w:val="00B03DAA"/>
    <w:rsid w:val="00B66ED4"/>
    <w:rsid w:val="00B817C6"/>
    <w:rsid w:val="00B839FD"/>
    <w:rsid w:val="00B91BD1"/>
    <w:rsid w:val="00BB1433"/>
    <w:rsid w:val="00BE32DD"/>
    <w:rsid w:val="00C0709B"/>
    <w:rsid w:val="00C11B4F"/>
    <w:rsid w:val="00C3785D"/>
    <w:rsid w:val="00C612E7"/>
    <w:rsid w:val="00C65F61"/>
    <w:rsid w:val="00C71C90"/>
    <w:rsid w:val="00CF31B5"/>
    <w:rsid w:val="00CF7B15"/>
    <w:rsid w:val="00D002C4"/>
    <w:rsid w:val="00D02538"/>
    <w:rsid w:val="00D30AB7"/>
    <w:rsid w:val="00D33C95"/>
    <w:rsid w:val="00D4131E"/>
    <w:rsid w:val="00D777CF"/>
    <w:rsid w:val="00D9519B"/>
    <w:rsid w:val="00DC2B5B"/>
    <w:rsid w:val="00DF06B0"/>
    <w:rsid w:val="00E10695"/>
    <w:rsid w:val="00E83396"/>
    <w:rsid w:val="00E90E95"/>
    <w:rsid w:val="00E91582"/>
    <w:rsid w:val="00E965F8"/>
    <w:rsid w:val="00E96BE6"/>
    <w:rsid w:val="00EB0C91"/>
    <w:rsid w:val="00EE2F5E"/>
    <w:rsid w:val="00EF1BB8"/>
    <w:rsid w:val="00EF4702"/>
    <w:rsid w:val="00F0105D"/>
    <w:rsid w:val="00F07DDA"/>
    <w:rsid w:val="00F13A08"/>
    <w:rsid w:val="00F16851"/>
    <w:rsid w:val="00F32778"/>
    <w:rsid w:val="00F83888"/>
    <w:rsid w:val="00F84E52"/>
    <w:rsid w:val="00FB5F91"/>
    <w:rsid w:val="00FB7209"/>
    <w:rsid w:val="00FE05DA"/>
    <w:rsid w:val="00FF04C4"/>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2B3BB9A"/>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imes New Roman"/>
        <w:sz w:val="22"/>
        <w:szCs w:val="22"/>
        <w:lang w:val="es-E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D50AA"/>
    <w:pPr>
      <w:spacing w:after="0" w:line="240" w:lineRule="auto"/>
    </w:pPr>
    <w:rPr>
      <w:rFonts w:ascii="Times New Roman" w:eastAsia="Times New Roman" w:hAnsi="Times New Roman"/>
      <w:sz w:val="20"/>
      <w:szCs w:val="20"/>
    </w:rPr>
  </w:style>
  <w:style w:type="paragraph" w:styleId="Ttulo1">
    <w:name w:val="heading 1"/>
    <w:basedOn w:val="Normal"/>
    <w:next w:val="Normal"/>
    <w:link w:val="Ttulo1Car"/>
    <w:uiPriority w:val="9"/>
    <w:qFormat/>
    <w:rsid w:val="003F6BAF"/>
    <w:pPr>
      <w:keepNext/>
      <w:spacing w:before="240" w:after="60"/>
      <w:outlineLvl w:val="0"/>
    </w:pPr>
    <w:rPr>
      <w:rFonts w:asciiTheme="majorHAnsi" w:eastAsiaTheme="majorEastAsia" w:hAnsiTheme="majorHAnsi"/>
      <w:b/>
      <w:bCs/>
      <w:kern w:val="32"/>
      <w:sz w:val="32"/>
      <w:szCs w:val="32"/>
    </w:rPr>
  </w:style>
  <w:style w:type="paragraph" w:styleId="Ttulo2">
    <w:name w:val="heading 2"/>
    <w:basedOn w:val="Normal"/>
    <w:next w:val="Normal"/>
    <w:link w:val="Ttulo2Car"/>
    <w:autoRedefine/>
    <w:uiPriority w:val="9"/>
    <w:unhideWhenUsed/>
    <w:qFormat/>
    <w:rsid w:val="003F6BAF"/>
    <w:pPr>
      <w:keepNext/>
      <w:spacing w:before="240" w:after="60"/>
      <w:outlineLvl w:val="1"/>
    </w:pPr>
    <w:rPr>
      <w:rFonts w:ascii="Agency FB" w:eastAsiaTheme="majorEastAsia" w:hAnsi="Agency FB"/>
      <w:b/>
      <w:bCs/>
      <w:iCs/>
      <w:outline/>
      <w:shadow/>
      <w:color w:val="000000" w:themeColor="text1"/>
      <w:sz w:val="32"/>
      <w:szCs w:val="28"/>
      <w:u w:val="single"/>
    </w:rPr>
  </w:style>
  <w:style w:type="paragraph" w:styleId="Ttulo3">
    <w:name w:val="heading 3"/>
    <w:basedOn w:val="Normal"/>
    <w:next w:val="Normal"/>
    <w:link w:val="Ttulo3Car"/>
    <w:uiPriority w:val="9"/>
    <w:unhideWhenUsed/>
    <w:qFormat/>
    <w:rsid w:val="003F6BAF"/>
    <w:pPr>
      <w:keepNext/>
      <w:spacing w:before="360" w:after="180"/>
      <w:outlineLvl w:val="2"/>
    </w:pPr>
    <w:rPr>
      <w:rFonts w:ascii="Agency FB" w:eastAsiaTheme="majorEastAsia" w:hAnsi="Agency FB" w:cstheme="majorBidi"/>
      <w:b/>
      <w:bCs/>
      <w:spacing w:val="12"/>
      <w:sz w:val="26"/>
      <w:szCs w:val="26"/>
      <w:u w:val="single"/>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3F6BAF"/>
    <w:rPr>
      <w:rFonts w:asciiTheme="majorHAnsi" w:eastAsiaTheme="majorEastAsia" w:hAnsiTheme="majorHAnsi"/>
      <w:b/>
      <w:bCs/>
      <w:kern w:val="32"/>
      <w:sz w:val="32"/>
      <w:szCs w:val="32"/>
    </w:rPr>
  </w:style>
  <w:style w:type="character" w:customStyle="1" w:styleId="Ttulo2Car">
    <w:name w:val="Título 2 Car"/>
    <w:basedOn w:val="Fuentedeprrafopredeter"/>
    <w:link w:val="Ttulo2"/>
    <w:uiPriority w:val="9"/>
    <w:rsid w:val="003F6BAF"/>
    <w:rPr>
      <w:rFonts w:ascii="Agency FB" w:eastAsiaTheme="majorEastAsia" w:hAnsi="Agency FB"/>
      <w:b/>
      <w:bCs/>
      <w:iCs/>
      <w:outline/>
      <w:shadow/>
      <w:color w:val="000000" w:themeColor="text1"/>
      <w:sz w:val="32"/>
      <w:szCs w:val="28"/>
      <w:u w:val="single"/>
    </w:rPr>
  </w:style>
  <w:style w:type="paragraph" w:styleId="TtuloTDC">
    <w:name w:val="TOC Heading"/>
    <w:basedOn w:val="Ttulo1"/>
    <w:next w:val="Normal"/>
    <w:uiPriority w:val="39"/>
    <w:unhideWhenUsed/>
    <w:qFormat/>
    <w:rsid w:val="003F6BAF"/>
    <w:pPr>
      <w:keepLines/>
      <w:spacing w:after="0"/>
      <w:outlineLvl w:val="9"/>
    </w:pPr>
    <w:rPr>
      <w:b w:val="0"/>
      <w:bCs w:val="0"/>
      <w:color w:val="2E74B5"/>
      <w:kern w:val="0"/>
    </w:rPr>
  </w:style>
  <w:style w:type="character" w:customStyle="1" w:styleId="Ttulo3Car">
    <w:name w:val="Título 3 Car"/>
    <w:basedOn w:val="Fuentedeprrafopredeter"/>
    <w:link w:val="Ttulo3"/>
    <w:uiPriority w:val="9"/>
    <w:rsid w:val="003F6BAF"/>
    <w:rPr>
      <w:rFonts w:ascii="Agency FB" w:eastAsiaTheme="majorEastAsia" w:hAnsi="Agency FB" w:cstheme="majorBidi"/>
      <w:b/>
      <w:bCs/>
      <w:spacing w:val="12"/>
      <w:sz w:val="26"/>
      <w:szCs w:val="26"/>
      <w:u w:val="single"/>
    </w:rPr>
  </w:style>
  <w:style w:type="paragraph" w:styleId="Textonotapie">
    <w:name w:val="footnote text"/>
    <w:aliases w:val="Reference,Fußnote,Footnote Text Char1 Char,Footnote Text Char Char Char,Footnote Text Char2 Char Char Char,Footnote Text Char1 Char Char Char Char,Footnote Text Char Char Char Char Char Char,FSR footnote,lábléc"/>
    <w:basedOn w:val="Normal"/>
    <w:link w:val="TextonotapieCar"/>
    <w:uiPriority w:val="99"/>
    <w:unhideWhenUsed/>
    <w:rsid w:val="005D50AA"/>
  </w:style>
  <w:style w:type="character" w:customStyle="1" w:styleId="TextonotapieCar">
    <w:name w:val="Texto nota pie Car"/>
    <w:aliases w:val="Reference Car,Fußnote Car,Footnote Text Char1 Char Car,Footnote Text Char Char Char Car,Footnote Text Char2 Char Char Char Car,Footnote Text Char1 Char Char Char Char Car,Footnote Text Char Char Char Char Char Char Car,lábléc Car"/>
    <w:basedOn w:val="Fuentedeprrafopredeter"/>
    <w:link w:val="Textonotapie"/>
    <w:uiPriority w:val="99"/>
    <w:rsid w:val="005D50AA"/>
    <w:rPr>
      <w:rFonts w:ascii="Times New Roman" w:eastAsia="Times New Roman" w:hAnsi="Times New Roman"/>
      <w:sz w:val="20"/>
      <w:szCs w:val="20"/>
      <w:lang w:val="en-US"/>
    </w:rPr>
  </w:style>
  <w:style w:type="character" w:styleId="Refdenotaalpie">
    <w:name w:val="footnote reference"/>
    <w:uiPriority w:val="99"/>
    <w:semiHidden/>
    <w:unhideWhenUsed/>
    <w:rsid w:val="005D50AA"/>
    <w:rPr>
      <w:vertAlign w:val="superscript"/>
    </w:rPr>
  </w:style>
  <w:style w:type="paragraph" w:styleId="Encabezado">
    <w:name w:val="header"/>
    <w:basedOn w:val="Normal"/>
    <w:link w:val="EncabezadoCar"/>
    <w:uiPriority w:val="99"/>
    <w:unhideWhenUsed/>
    <w:rsid w:val="005D50AA"/>
    <w:pPr>
      <w:tabs>
        <w:tab w:val="center" w:pos="4252"/>
        <w:tab w:val="right" w:pos="8504"/>
      </w:tabs>
    </w:pPr>
  </w:style>
  <w:style w:type="character" w:customStyle="1" w:styleId="EncabezadoCar">
    <w:name w:val="Encabezado Car"/>
    <w:basedOn w:val="Fuentedeprrafopredeter"/>
    <w:link w:val="Encabezado"/>
    <w:uiPriority w:val="99"/>
    <w:rsid w:val="005D50AA"/>
    <w:rPr>
      <w:rFonts w:ascii="Times New Roman" w:eastAsia="Times New Roman" w:hAnsi="Times New Roman"/>
      <w:sz w:val="20"/>
      <w:szCs w:val="20"/>
      <w:lang w:val="en-US"/>
    </w:rPr>
  </w:style>
  <w:style w:type="paragraph" w:styleId="Piedepgina">
    <w:name w:val="footer"/>
    <w:basedOn w:val="Normal"/>
    <w:link w:val="PiedepginaCar"/>
    <w:uiPriority w:val="99"/>
    <w:unhideWhenUsed/>
    <w:rsid w:val="005D50AA"/>
    <w:pPr>
      <w:tabs>
        <w:tab w:val="center" w:pos="4252"/>
        <w:tab w:val="right" w:pos="8504"/>
      </w:tabs>
    </w:pPr>
  </w:style>
  <w:style w:type="character" w:customStyle="1" w:styleId="PiedepginaCar">
    <w:name w:val="Pie de página Car"/>
    <w:basedOn w:val="Fuentedeprrafopredeter"/>
    <w:link w:val="Piedepgina"/>
    <w:uiPriority w:val="99"/>
    <w:rsid w:val="005D50AA"/>
    <w:rPr>
      <w:rFonts w:ascii="Times New Roman" w:eastAsia="Times New Roman" w:hAnsi="Times New Roman"/>
      <w:sz w:val="20"/>
      <w:szCs w:val="20"/>
      <w:lang w:val="en-US"/>
    </w:rPr>
  </w:style>
  <w:style w:type="table" w:styleId="Tablaconcuadrcula">
    <w:name w:val="Table Grid"/>
    <w:basedOn w:val="Tablanormal"/>
    <w:uiPriority w:val="39"/>
    <w:rsid w:val="001679FF"/>
    <w:pPr>
      <w:spacing w:after="0" w:line="240" w:lineRule="auto"/>
    </w:pPr>
    <w:rPr>
      <w:rFonts w:cstheme="minorBid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odeglobo">
    <w:name w:val="Balloon Text"/>
    <w:basedOn w:val="Normal"/>
    <w:link w:val="TextodegloboCar"/>
    <w:uiPriority w:val="99"/>
    <w:semiHidden/>
    <w:unhideWhenUsed/>
    <w:rsid w:val="001679FF"/>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1679FF"/>
    <w:rPr>
      <w:rFonts w:ascii="Segoe UI" w:eastAsia="Times New Roman" w:hAnsi="Segoe UI" w:cs="Segoe UI"/>
      <w:sz w:val="18"/>
      <w:szCs w:val="18"/>
      <w:lang w:val="en-US"/>
    </w:rPr>
  </w:style>
  <w:style w:type="paragraph" w:styleId="Prrafodelista">
    <w:name w:val="List Paragraph"/>
    <w:aliases w:val="List,Bullet List,FooterText,List Paragraph1,numbered,Paragraphe de liste1,列出段落,列出段落1,Bulletr List Paragraph,List Paragraph2,List Paragraph21,Parágrafo da Lista1,Párrafo de lista1,Listeafsnit1,リスト段落1,????,????1,Paragraphe de liste,b1,K1"/>
    <w:basedOn w:val="Normal"/>
    <w:link w:val="PrrafodelistaCar"/>
    <w:uiPriority w:val="34"/>
    <w:qFormat/>
    <w:rsid w:val="00225BF6"/>
    <w:pPr>
      <w:ind w:left="720"/>
      <w:contextualSpacing/>
    </w:pPr>
  </w:style>
  <w:style w:type="character" w:styleId="Hipervnculo">
    <w:name w:val="Hyperlink"/>
    <w:basedOn w:val="Fuentedeprrafopredeter"/>
    <w:uiPriority w:val="99"/>
    <w:unhideWhenUsed/>
    <w:rsid w:val="007A3948"/>
    <w:rPr>
      <w:color w:val="0563C1" w:themeColor="hyperlink"/>
      <w:u w:val="single"/>
    </w:rPr>
  </w:style>
  <w:style w:type="character" w:styleId="Hipervnculovisitado">
    <w:name w:val="FollowedHyperlink"/>
    <w:basedOn w:val="Fuentedeprrafopredeter"/>
    <w:uiPriority w:val="99"/>
    <w:semiHidden/>
    <w:unhideWhenUsed/>
    <w:rsid w:val="00B91BD1"/>
    <w:rPr>
      <w:color w:val="954F72" w:themeColor="followedHyperlink"/>
      <w:u w:val="single"/>
    </w:rPr>
  </w:style>
  <w:style w:type="paragraph" w:customStyle="1" w:styleId="Estilo3">
    <w:name w:val="Estilo3"/>
    <w:basedOn w:val="Prrafodelista"/>
    <w:link w:val="Estilo3Car"/>
    <w:qFormat/>
    <w:rsid w:val="00646E74"/>
    <w:pPr>
      <w:numPr>
        <w:ilvl w:val="6"/>
        <w:numId w:val="7"/>
      </w:numPr>
      <w:spacing w:after="120" w:line="276" w:lineRule="auto"/>
      <w:jc w:val="both"/>
    </w:pPr>
    <w:rPr>
      <w:rFonts w:ascii="Arial" w:hAnsi="Arial" w:cs="Arial"/>
      <w:sz w:val="22"/>
      <w:szCs w:val="22"/>
      <w:lang w:eastAsia="es-ES"/>
    </w:rPr>
  </w:style>
  <w:style w:type="character" w:customStyle="1" w:styleId="Estilo3Car">
    <w:name w:val="Estilo3 Car"/>
    <w:basedOn w:val="Fuentedeprrafopredeter"/>
    <w:link w:val="Estilo3"/>
    <w:rsid w:val="00646E74"/>
    <w:rPr>
      <w:rFonts w:ascii="Arial" w:eastAsia="Times New Roman" w:hAnsi="Arial" w:cs="Arial"/>
      <w:lang w:eastAsia="es-ES"/>
    </w:rPr>
  </w:style>
  <w:style w:type="character" w:customStyle="1" w:styleId="PrrafodelistaCar">
    <w:name w:val="Párrafo de lista Car"/>
    <w:aliases w:val="List Car,Bullet List Car,FooterText Car,List Paragraph1 Car,numbered Car,Paragraphe de liste1 Car,列出段落 Car,列出段落1 Car,Bulletr List Paragraph Car,List Paragraph2 Car,List Paragraph21 Car,Parágrafo da Lista1 Car,Párrafo de lista1 Car"/>
    <w:basedOn w:val="Fuentedeprrafopredeter"/>
    <w:link w:val="Prrafodelista"/>
    <w:uiPriority w:val="34"/>
    <w:qFormat/>
    <w:locked/>
    <w:rsid w:val="00E96BE6"/>
    <w:rPr>
      <w:rFonts w:ascii="Times New Roman" w:eastAsia="Times New Roman" w:hAnsi="Times New Roman"/>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customXml" Target="../customXml/item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customXml" Target="../customXml/item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customXml" Target="../customXml/item4.xml"/></Relationships>
</file>

<file path=word/_rels/footnotes.xml.rels><?xml version="1.0" encoding="UTF-8" standalone="yes"?>
<Relationships xmlns="http://schemas.openxmlformats.org/package/2006/relationships"><Relationship Id="rId3" Type="http://schemas.openxmlformats.org/officeDocument/2006/relationships/hyperlink" Target="https://eur-lex.europa.eu/legal-content/ES/TXT/PDF/?uri=CELEX:52021PC0322&amp;from=EN" TargetMode="External"/><Relationship Id="rId2" Type="http://schemas.openxmlformats.org/officeDocument/2006/relationships/hyperlink" Target="https://www.boe.es/buscar/doc.php?id=DOUE-Z-2021-70014" TargetMode="External"/><Relationship Id="rId1" Type="http://schemas.openxmlformats.org/officeDocument/2006/relationships/hyperlink" Target="https://www.miteco.gob.es/es/ministerio/recuperacion-transformacion-resiliencia/transicion-verde/guiadnshmitecov20_tcm30-528436.pdf" TargetMode="External"/></Relationships>
</file>

<file path=word/_rels/header1.xml.rels><?xml version="1.0" encoding="UTF-8" standalone="yes"?>
<Relationships xmlns="http://schemas.openxmlformats.org/package/2006/relationships"><Relationship Id="rId3" Type="http://schemas.openxmlformats.org/officeDocument/2006/relationships/image" Target="media/image3.jpeg"/><Relationship Id="rId2" Type="http://schemas.openxmlformats.org/officeDocument/2006/relationships/image" Target="media/image2.jpeg"/><Relationship Id="rId1" Type="http://schemas.openxmlformats.org/officeDocument/2006/relationships/image" Target="media/image1.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o" ma:contentTypeID="0x010100DDE4C0380F78464CACCA0A2FC595E552" ma:contentTypeVersion="1" ma:contentTypeDescription="Crear nuevo documento." ma:contentTypeScope="" ma:versionID="30905c884ce593df9ecd2045d800b9e7">
  <xsd:schema xmlns:xsd="http://www.w3.org/2001/XMLSchema" xmlns:xs="http://www.w3.org/2001/XMLSchema" xmlns:p="http://schemas.microsoft.com/office/2006/metadata/properties" xmlns:ns1="http://schemas.microsoft.com/sharepoint/v3" targetNamespace="http://schemas.microsoft.com/office/2006/metadata/properties" ma:root="true" ma:fieldsID="0b5f0d48ff83a005300e43886532853e" ns1:_="">
    <xsd:import namespace="http://schemas.microsoft.com/sharepoint/v3"/>
    <xsd:element name="properties">
      <xsd:complexType>
        <xsd:sequence>
          <xsd:element name="documentManagement">
            <xsd:complexType>
              <xsd:all>
                <xsd:element ref="ns1:PublishingStartDate" minOccurs="0"/>
                <xsd:element ref="ns1:PublishingExpirationDa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StartDate" ma:index="8" nillable="true" ma:displayName="Fecha de inicio programada" ma:description="Fecha de inicio programada es una columna del sitio que crea la característica Publicación. Se usa para especificar la fecha y la hora a la que esta página se presentará por primera vez a los visitantes del sitio." ma:hidden="true" ma:internalName="PublishingStartDate">
      <xsd:simpleType>
        <xsd:restriction base="dms:Unknown"/>
      </xsd:simpleType>
    </xsd:element>
    <xsd:element name="PublishingExpirationDate" ma:index="9" nillable="true" ma:displayName="Fecha de finalización programada" ma:description="Fecha de finalización programada es una columna del sitio que crea la característica Publicación. Se usa para especificar la fecha y la hora a la que esta página dejará de presentarse a los visitantes del sitio." ma:hidden="true" ma:internalName="PublishingExpirationDat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ni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p:properties xmlns:p="http://schemas.microsoft.com/office/2006/metadata/properties" xmlns:xsi="http://www.w3.org/2001/XMLSchema-instance" xmlns:pc="http://schemas.microsoft.com/office/infopath/2007/PartnerControls">
  <documentManagement>
    <PublishingExpirationDate xmlns="http://schemas.microsoft.com/sharepoint/v3" xsi:nil="true"/>
    <PublishingStartDate xmlns="http://schemas.microsoft.com/sharepoint/v3" xsi:nil="true"/>
  </documentManagement>
</p:properties>
</file>

<file path=customXml/itemProps1.xml><?xml version="1.0" encoding="utf-8"?>
<ds:datastoreItem xmlns:ds="http://schemas.openxmlformats.org/officeDocument/2006/customXml" ds:itemID="{CA7CDF65-29EB-41BC-A7C2-98273B7C96CB}"/>
</file>

<file path=customXml/itemProps2.xml><?xml version="1.0" encoding="utf-8"?>
<ds:datastoreItem xmlns:ds="http://schemas.openxmlformats.org/officeDocument/2006/customXml" ds:itemID="{0A7BF46C-C0FA-4169-8475-3939B1090432}"/>
</file>

<file path=customXml/itemProps3.xml><?xml version="1.0" encoding="utf-8"?>
<ds:datastoreItem xmlns:ds="http://schemas.openxmlformats.org/officeDocument/2006/customXml" ds:itemID="{C433818F-6BA4-420A-8E99-585F8D7E24B8}"/>
</file>

<file path=customXml/itemProps4.xml><?xml version="1.0" encoding="utf-8"?>
<ds:datastoreItem xmlns:ds="http://schemas.openxmlformats.org/officeDocument/2006/customXml" ds:itemID="{11C9B5B6-00CB-44F3-B7FB-B0C2E32C5B36}"/>
</file>

<file path=docProps/app.xml><?xml version="1.0" encoding="utf-8"?>
<Properties xmlns="http://schemas.openxmlformats.org/officeDocument/2006/extended-properties" xmlns:vt="http://schemas.openxmlformats.org/officeDocument/2006/docPropsVTypes">
  <Template>Normal.dotm</Template>
  <TotalTime>0</TotalTime>
  <Pages>6</Pages>
  <Words>2304</Words>
  <Characters>12673</Characters>
  <Application>Microsoft Office Word</Application>
  <DocSecurity>0</DocSecurity>
  <Lines>105</Lines>
  <Paragraphs>29</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14948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2022-11-22T11:34:00Z</dcterms:created>
  <dcterms:modified xsi:type="dcterms:W3CDTF">2023-05-31T12:22:00Z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0x010100DDE4C0380F78464CACCA0A2FC595E552</vt:lpwstr>
  </property>
</Properties>
</file>