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872"/>
        <w:gridCol w:w="6868"/>
      </w:tblGrid>
      <w:tr w:rsidR="006B462D" w14:paraId="03BA1C98" w14:textId="77777777" w:rsidTr="000239E1">
        <w:tc>
          <w:tcPr>
            <w:tcW w:w="9740" w:type="dxa"/>
            <w:gridSpan w:val="2"/>
          </w:tcPr>
          <w:p w14:paraId="7155CD83" w14:textId="77777777" w:rsidR="006B462D" w:rsidRDefault="006B462D" w:rsidP="000239E1">
            <w:pPr>
              <w:jc w:val="center"/>
            </w:pPr>
            <w:r w:rsidRPr="006014B0">
              <w:rPr>
                <w:b/>
                <w:bCs/>
                <w:sz w:val="28"/>
                <w:szCs w:val="28"/>
              </w:rPr>
              <w:t xml:space="preserve">MEMORIA DEL CUMPLIMIENTO DE LAS CONDICIONES ESPECÍFICAS </w:t>
            </w:r>
            <w:r>
              <w:rPr>
                <w:b/>
                <w:bCs/>
                <w:sz w:val="28"/>
                <w:szCs w:val="28"/>
              </w:rPr>
              <w:t xml:space="preserve">EN RELACIÓN CON EL PRINCIPIO </w:t>
            </w:r>
            <w:r w:rsidRPr="006014B0">
              <w:rPr>
                <w:b/>
                <w:bCs/>
                <w:sz w:val="28"/>
                <w:szCs w:val="28"/>
              </w:rPr>
              <w:t>DE DNSH</w:t>
            </w:r>
            <w:r>
              <w:rPr>
                <w:b/>
                <w:bCs/>
                <w:sz w:val="28"/>
                <w:szCs w:val="28"/>
              </w:rPr>
              <w:t xml:space="preserve"> (Do No </w:t>
            </w:r>
            <w:proofErr w:type="spellStart"/>
            <w:r>
              <w:rPr>
                <w:b/>
                <w:bCs/>
                <w:sz w:val="28"/>
                <w:szCs w:val="28"/>
              </w:rPr>
              <w:t>Significant</w:t>
            </w:r>
            <w:proofErr w:type="spellEnd"/>
            <w:r>
              <w:rPr>
                <w:b/>
                <w:bCs/>
                <w:sz w:val="28"/>
                <w:szCs w:val="28"/>
              </w:rPr>
              <w:t xml:space="preserve"> </w:t>
            </w:r>
            <w:proofErr w:type="spellStart"/>
            <w:r>
              <w:rPr>
                <w:b/>
                <w:bCs/>
                <w:sz w:val="28"/>
                <w:szCs w:val="28"/>
              </w:rPr>
              <w:t>Harm</w:t>
            </w:r>
            <w:proofErr w:type="spellEnd"/>
            <w:r>
              <w:rPr>
                <w:b/>
                <w:bCs/>
                <w:sz w:val="28"/>
                <w:szCs w:val="28"/>
              </w:rPr>
              <w:t>)</w:t>
            </w:r>
          </w:p>
        </w:tc>
      </w:tr>
      <w:tr w:rsidR="006B462D" w:rsidRPr="00731677" w14:paraId="247D4853" w14:textId="77777777" w:rsidTr="000239E1">
        <w:tc>
          <w:tcPr>
            <w:tcW w:w="2872" w:type="dxa"/>
          </w:tcPr>
          <w:p w14:paraId="15E7AC64" w14:textId="77777777" w:rsidR="006B462D" w:rsidRPr="00731677" w:rsidRDefault="006B462D" w:rsidP="000239E1">
            <w:pPr>
              <w:jc w:val="both"/>
              <w:rPr>
                <w:b/>
                <w:bCs/>
                <w:sz w:val="24"/>
                <w:szCs w:val="24"/>
              </w:rPr>
            </w:pPr>
            <w:r w:rsidRPr="00731677">
              <w:rPr>
                <w:b/>
                <w:bCs/>
                <w:sz w:val="24"/>
                <w:szCs w:val="24"/>
              </w:rPr>
              <w:t>Convocatoria</w:t>
            </w:r>
          </w:p>
        </w:tc>
        <w:tc>
          <w:tcPr>
            <w:tcW w:w="6868" w:type="dxa"/>
          </w:tcPr>
          <w:p w14:paraId="73CD4281" w14:textId="5125F46D" w:rsidR="006B462D" w:rsidRPr="000B6848" w:rsidRDefault="000B6848" w:rsidP="006B462D">
            <w:pPr>
              <w:rPr>
                <w:sz w:val="24"/>
                <w:szCs w:val="24"/>
              </w:rPr>
            </w:pPr>
            <w:r w:rsidRPr="000B6848">
              <w:rPr>
                <w:sz w:val="24"/>
                <w:szCs w:val="24"/>
              </w:rPr>
              <w:t>UNICO Cable Submarino - Ramal Fuerteventura</w:t>
            </w:r>
          </w:p>
        </w:tc>
      </w:tr>
      <w:tr w:rsidR="006B462D" w14:paraId="06D24B93" w14:textId="77777777" w:rsidTr="000239E1">
        <w:tc>
          <w:tcPr>
            <w:tcW w:w="2872" w:type="dxa"/>
          </w:tcPr>
          <w:p w14:paraId="754C5C8F" w14:textId="77777777" w:rsidR="006B462D" w:rsidRDefault="006B462D" w:rsidP="000239E1">
            <w:pPr>
              <w:jc w:val="both"/>
              <w:rPr>
                <w:b/>
                <w:bCs/>
                <w:sz w:val="24"/>
                <w:szCs w:val="24"/>
              </w:rPr>
            </w:pPr>
            <w:r>
              <w:rPr>
                <w:b/>
                <w:bCs/>
                <w:sz w:val="24"/>
                <w:szCs w:val="24"/>
              </w:rPr>
              <w:t>Instrumento jurídico</w:t>
            </w:r>
          </w:p>
        </w:tc>
        <w:tc>
          <w:tcPr>
            <w:tcW w:w="6868" w:type="dxa"/>
          </w:tcPr>
          <w:p w14:paraId="2EDA4693" w14:textId="504D6EE5" w:rsidR="006B462D" w:rsidRPr="000B6848" w:rsidRDefault="000B6848" w:rsidP="000B6848">
            <w:pPr>
              <w:jc w:val="both"/>
              <w:rPr>
                <w:sz w:val="24"/>
                <w:szCs w:val="24"/>
              </w:rPr>
            </w:pPr>
            <w:r w:rsidRPr="000B6848">
              <w:rPr>
                <w:sz w:val="24"/>
                <w:szCs w:val="24"/>
              </w:rPr>
              <w:t xml:space="preserve">Real Decreto 973/2025, de 29 de octubre, por el que se regula la concesión directa de una subvención a Canarias Submarine Link, SLU, para el proyecto de expansión del sistema submarino </w:t>
            </w:r>
            <w:proofErr w:type="spellStart"/>
            <w:r w:rsidRPr="000B6848">
              <w:rPr>
                <w:sz w:val="24"/>
                <w:szCs w:val="24"/>
              </w:rPr>
              <w:t>Canalink</w:t>
            </w:r>
            <w:proofErr w:type="spellEnd"/>
            <w:r w:rsidRPr="000B6848">
              <w:rPr>
                <w:sz w:val="24"/>
                <w:szCs w:val="24"/>
              </w:rPr>
              <w:t xml:space="preserve"> Base 4 a través de un nuevo ramal que conecte con el sur de Fuerteventura, del Mecanismo Conectar Europa, destinado a reforzar las interconexiones en el territorio del Estado, programa «UNICO Cable Submarino-Ramal Fuerteventura», en el marco del Plan de Recuperación, Transformación y Resiliencia -Financiado por la Unión Europea- Next </w:t>
            </w:r>
            <w:proofErr w:type="spellStart"/>
            <w:r w:rsidRPr="000B6848">
              <w:rPr>
                <w:sz w:val="24"/>
                <w:szCs w:val="24"/>
              </w:rPr>
              <w:t>Generation</w:t>
            </w:r>
            <w:proofErr w:type="spellEnd"/>
            <w:r w:rsidRPr="000B6848">
              <w:rPr>
                <w:sz w:val="24"/>
                <w:szCs w:val="24"/>
              </w:rPr>
              <w:t xml:space="preserve"> EU.</w:t>
            </w:r>
          </w:p>
        </w:tc>
      </w:tr>
      <w:tr w:rsidR="006B462D" w14:paraId="5CAFDDE0" w14:textId="77777777" w:rsidTr="000239E1">
        <w:tc>
          <w:tcPr>
            <w:tcW w:w="2872" w:type="dxa"/>
          </w:tcPr>
          <w:p w14:paraId="4CA9F588" w14:textId="77777777" w:rsidR="006B462D" w:rsidRDefault="006B462D" w:rsidP="000239E1">
            <w:pPr>
              <w:jc w:val="both"/>
              <w:rPr>
                <w:b/>
                <w:bCs/>
                <w:sz w:val="24"/>
                <w:szCs w:val="24"/>
              </w:rPr>
            </w:pPr>
            <w:r>
              <w:rPr>
                <w:b/>
                <w:bCs/>
                <w:sz w:val="24"/>
                <w:szCs w:val="24"/>
              </w:rPr>
              <w:t>Condiciones específicas en relación con el principio de DNSH</w:t>
            </w:r>
          </w:p>
        </w:tc>
        <w:tc>
          <w:tcPr>
            <w:tcW w:w="6868" w:type="dxa"/>
          </w:tcPr>
          <w:p w14:paraId="2F3D45EA" w14:textId="53B19AA9" w:rsidR="006B462D" w:rsidRPr="00292544" w:rsidRDefault="00292544" w:rsidP="00292544">
            <w:pPr>
              <w:jc w:val="both"/>
              <w:rPr>
                <w:sz w:val="24"/>
                <w:szCs w:val="24"/>
              </w:rPr>
            </w:pPr>
            <w:r w:rsidRPr="00292544">
              <w:rPr>
                <w:sz w:val="24"/>
                <w:szCs w:val="24"/>
              </w:rPr>
              <w:t xml:space="preserve">ANEXO II </w:t>
            </w:r>
            <w:r>
              <w:rPr>
                <w:sz w:val="24"/>
                <w:szCs w:val="24"/>
              </w:rPr>
              <w:t>del Instrumento Jurídico</w:t>
            </w:r>
          </w:p>
        </w:tc>
      </w:tr>
      <w:tr w:rsidR="006B462D" w14:paraId="3AFC5DBC" w14:textId="77777777" w:rsidTr="000239E1">
        <w:tc>
          <w:tcPr>
            <w:tcW w:w="2872" w:type="dxa"/>
          </w:tcPr>
          <w:p w14:paraId="61DFB93C" w14:textId="77777777" w:rsidR="006B462D" w:rsidRDefault="006B462D" w:rsidP="000239E1">
            <w:pPr>
              <w:jc w:val="both"/>
              <w:rPr>
                <w:b/>
                <w:bCs/>
                <w:sz w:val="24"/>
                <w:szCs w:val="24"/>
              </w:rPr>
            </w:pPr>
            <w:r>
              <w:rPr>
                <w:b/>
                <w:bCs/>
                <w:sz w:val="24"/>
                <w:szCs w:val="24"/>
              </w:rPr>
              <w:t>Beneficiario</w:t>
            </w:r>
          </w:p>
        </w:tc>
        <w:tc>
          <w:tcPr>
            <w:tcW w:w="6868" w:type="dxa"/>
          </w:tcPr>
          <w:p w14:paraId="5ED20AFC" w14:textId="7FB91630" w:rsidR="006B462D" w:rsidRPr="00294052" w:rsidRDefault="000B6848" w:rsidP="000239E1">
            <w:pPr>
              <w:jc w:val="both"/>
              <w:rPr>
                <w:sz w:val="24"/>
                <w:szCs w:val="24"/>
              </w:rPr>
            </w:pPr>
            <w:r w:rsidRPr="000B6848">
              <w:rPr>
                <w:sz w:val="24"/>
                <w:szCs w:val="24"/>
              </w:rPr>
              <w:t xml:space="preserve">Canarias Submarine </w:t>
            </w:r>
            <w:proofErr w:type="gramStart"/>
            <w:r w:rsidRPr="000B6848">
              <w:rPr>
                <w:sz w:val="24"/>
                <w:szCs w:val="24"/>
              </w:rPr>
              <w:t>Link</w:t>
            </w:r>
            <w:proofErr w:type="gramEnd"/>
            <w:r w:rsidRPr="000B6848">
              <w:rPr>
                <w:sz w:val="24"/>
                <w:szCs w:val="24"/>
              </w:rPr>
              <w:t>, SLU</w:t>
            </w:r>
          </w:p>
        </w:tc>
      </w:tr>
      <w:tr w:rsidR="00731677" w14:paraId="4668E48B" w14:textId="77777777" w:rsidTr="000239E1">
        <w:tc>
          <w:tcPr>
            <w:tcW w:w="2872" w:type="dxa"/>
          </w:tcPr>
          <w:p w14:paraId="3393F129" w14:textId="00AA7EFB" w:rsidR="00731677" w:rsidRDefault="00731677" w:rsidP="000239E1">
            <w:pPr>
              <w:jc w:val="both"/>
              <w:rPr>
                <w:b/>
                <w:bCs/>
                <w:sz w:val="24"/>
                <w:szCs w:val="24"/>
              </w:rPr>
            </w:pPr>
            <w:r>
              <w:rPr>
                <w:b/>
                <w:bCs/>
                <w:sz w:val="24"/>
                <w:szCs w:val="24"/>
              </w:rPr>
              <w:t>Expediente</w:t>
            </w:r>
          </w:p>
        </w:tc>
        <w:tc>
          <w:tcPr>
            <w:tcW w:w="6868" w:type="dxa"/>
          </w:tcPr>
          <w:p w14:paraId="4D9774CE" w14:textId="30ED7367" w:rsidR="00731677" w:rsidRDefault="000B6848" w:rsidP="000239E1">
            <w:pPr>
              <w:jc w:val="both"/>
              <w:rPr>
                <w:sz w:val="24"/>
                <w:szCs w:val="24"/>
              </w:rPr>
            </w:pPr>
            <w:r w:rsidRPr="000B6848">
              <w:rPr>
                <w:sz w:val="24"/>
                <w:szCs w:val="24"/>
                <w:highlight w:val="yellow"/>
              </w:rPr>
              <w:t>XXX</w:t>
            </w:r>
          </w:p>
        </w:tc>
      </w:tr>
    </w:tbl>
    <w:p w14:paraId="7EA4B642" w14:textId="77777777" w:rsidR="006B462D" w:rsidRDefault="006B462D" w:rsidP="006B462D">
      <w:pPr>
        <w:jc w:val="both"/>
      </w:pPr>
    </w:p>
    <w:tbl>
      <w:tblPr>
        <w:tblStyle w:val="Tablaconcuadrcula"/>
        <w:tblW w:w="0" w:type="auto"/>
        <w:tblLook w:val="04A0" w:firstRow="1" w:lastRow="0" w:firstColumn="1" w:lastColumn="0" w:noHBand="0" w:noVBand="1"/>
      </w:tblPr>
      <w:tblGrid>
        <w:gridCol w:w="9740"/>
      </w:tblGrid>
      <w:tr w:rsidR="006B462D" w:rsidRPr="0025232B" w14:paraId="28F3B2CE" w14:textId="77777777" w:rsidTr="000239E1">
        <w:tc>
          <w:tcPr>
            <w:tcW w:w="9740" w:type="dxa"/>
          </w:tcPr>
          <w:p w14:paraId="0FF0EE53" w14:textId="1FAD348C" w:rsidR="006B462D" w:rsidRPr="0025232B" w:rsidRDefault="006B462D" w:rsidP="000239E1">
            <w:pPr>
              <w:spacing w:after="160" w:line="259" w:lineRule="auto"/>
              <w:jc w:val="both"/>
              <w:rPr>
                <w:sz w:val="24"/>
                <w:szCs w:val="24"/>
              </w:rPr>
            </w:pPr>
            <w:r w:rsidRPr="0025232B">
              <w:rPr>
                <w:sz w:val="24"/>
                <w:szCs w:val="24"/>
              </w:rPr>
              <w:t xml:space="preserve">En esta memoria se describen las acciones llevadas a cabo por </w:t>
            </w:r>
            <w:r w:rsidRPr="0025232B">
              <w:rPr>
                <w:sz w:val="24"/>
                <w:szCs w:val="24"/>
                <w:highlight w:val="yellow"/>
              </w:rPr>
              <w:t>[BENEFIC</w:t>
            </w:r>
            <w:r w:rsidR="005D23A6">
              <w:rPr>
                <w:sz w:val="24"/>
                <w:szCs w:val="24"/>
                <w:highlight w:val="yellow"/>
              </w:rPr>
              <w:t>I</w:t>
            </w:r>
            <w:r w:rsidRPr="0025232B">
              <w:rPr>
                <w:sz w:val="24"/>
                <w:szCs w:val="24"/>
                <w:highlight w:val="yellow"/>
              </w:rPr>
              <w:t>ARIO</w:t>
            </w:r>
            <w:r w:rsidRPr="0025232B">
              <w:rPr>
                <w:sz w:val="24"/>
                <w:szCs w:val="24"/>
              </w:rPr>
              <w:t xml:space="preserve">] para dar cumplimiento a cada una de las condiciones específicas relativas al principio DNSH que son aplicables a esta actuación y que se enumeran a continuación asociadas a cada uno de los objetivos medioambientales recogidos en el artículo 17 del Reglamento 2020/852: </w:t>
            </w:r>
          </w:p>
        </w:tc>
      </w:tr>
    </w:tbl>
    <w:p w14:paraId="281F5BB5" w14:textId="77777777" w:rsidR="006B462D" w:rsidRDefault="006B462D" w:rsidP="006B462D">
      <w:pPr>
        <w:jc w:val="both"/>
        <w:rPr>
          <w:highlight w:val="yellow"/>
        </w:rPr>
      </w:pPr>
    </w:p>
    <w:p w14:paraId="69B8CB22" w14:textId="77777777" w:rsidR="006B462D" w:rsidRDefault="006B462D" w:rsidP="001A4255"/>
    <w:p w14:paraId="6D7835CC" w14:textId="77777777" w:rsidR="00292544" w:rsidRPr="006014B0" w:rsidRDefault="00292544" w:rsidP="00292544">
      <w:pPr>
        <w:jc w:val="both"/>
        <w:rPr>
          <w:b/>
          <w:bCs/>
        </w:rPr>
      </w:pPr>
      <w:r>
        <w:rPr>
          <w:b/>
          <w:bCs/>
        </w:rPr>
        <w:t xml:space="preserve">Condición específica </w:t>
      </w:r>
      <w:proofErr w:type="spellStart"/>
      <w:r>
        <w:rPr>
          <w:b/>
          <w:bCs/>
        </w:rPr>
        <w:t>nº</w:t>
      </w:r>
      <w:proofErr w:type="spellEnd"/>
      <w:r>
        <w:rPr>
          <w:b/>
          <w:bCs/>
        </w:rPr>
        <w:t xml:space="preserve"> 1: </w:t>
      </w:r>
      <w:r w:rsidRPr="006014B0">
        <w:rPr>
          <w:b/>
          <w:bCs/>
        </w:rPr>
        <w:t xml:space="preserve"> </w:t>
      </w:r>
    </w:p>
    <w:p w14:paraId="6D2DA017" w14:textId="77777777" w:rsidR="00300ADC" w:rsidRPr="00300ADC" w:rsidRDefault="00300ADC" w:rsidP="00300ADC">
      <w:pPr>
        <w:jc w:val="both"/>
      </w:pPr>
      <w:r w:rsidRPr="00300ADC">
        <w:t>1. Respecto a las emisiones de gases de efecto invernadero.</w:t>
      </w:r>
    </w:p>
    <w:p w14:paraId="0A6374E4" w14:textId="77777777" w:rsidR="00300ADC" w:rsidRPr="00300ADC" w:rsidRDefault="00300ADC" w:rsidP="00300ADC">
      <w:pPr>
        <w:jc w:val="both"/>
      </w:pPr>
      <w:r w:rsidRPr="00300ADC">
        <w:t xml:space="preserve">a) Para minimizar el impacto climático y medioambiental de las grandes infraestructuras digitales transfronterizas y </w:t>
      </w:r>
      <w:proofErr w:type="spellStart"/>
      <w:r w:rsidRPr="00300ADC">
        <w:t>multipaís</w:t>
      </w:r>
      <w:proofErr w:type="spellEnd"/>
      <w:r w:rsidRPr="00300ADC">
        <w:t xml:space="preserve">, se activarán medidas y se establecerán políticas de apoyo a la instalación de aquellos centros que sean absolutamente respetuosos con los informes de la Comisión: concretamente el «EU </w:t>
      </w:r>
      <w:proofErr w:type="spellStart"/>
      <w:r w:rsidRPr="00300ADC">
        <w:t>Code</w:t>
      </w:r>
      <w:proofErr w:type="spellEnd"/>
      <w:r w:rsidRPr="00300ADC">
        <w:t xml:space="preserve"> </w:t>
      </w:r>
      <w:proofErr w:type="spellStart"/>
      <w:r w:rsidRPr="00300ADC">
        <w:t>of</w:t>
      </w:r>
      <w:proofErr w:type="spellEnd"/>
      <w:r w:rsidRPr="00300ADC">
        <w:t xml:space="preserve"> </w:t>
      </w:r>
      <w:proofErr w:type="spellStart"/>
      <w:r w:rsidRPr="00300ADC">
        <w:t>Conduct</w:t>
      </w:r>
      <w:proofErr w:type="spellEnd"/>
      <w:r w:rsidRPr="00300ADC">
        <w:t xml:space="preserve"> </w:t>
      </w:r>
      <w:proofErr w:type="spellStart"/>
      <w:r w:rsidRPr="00300ADC">
        <w:t>on</w:t>
      </w:r>
      <w:proofErr w:type="spellEnd"/>
      <w:r w:rsidRPr="00300ADC">
        <w:t xml:space="preserve"> Data Centre Energy </w:t>
      </w:r>
      <w:proofErr w:type="spellStart"/>
      <w:r w:rsidRPr="00300ADC">
        <w:t>efficiency</w:t>
      </w:r>
      <w:proofErr w:type="spellEnd"/>
      <w:r w:rsidRPr="00300ADC">
        <w:t>» (https://ec.europa.eu/jrc/en/energy-efficiency/code-conduct/datacentres).</w:t>
      </w:r>
    </w:p>
    <w:p w14:paraId="7666C51C" w14:textId="77777777" w:rsidR="00300ADC" w:rsidRDefault="00300ADC" w:rsidP="00300ADC">
      <w:pPr>
        <w:jc w:val="both"/>
      </w:pPr>
      <w:r w:rsidRPr="00300ADC">
        <w:t xml:space="preserve">b) Los equipos que se utilicen cumplirán con los requisitos relacionados con el consumo energético establecidos de acuerdo con la Directiva 2009/125/EC para servidores y almacenamiento de datos, o computadoras y servidores de computadoras o pantallas electrónicas. </w:t>
      </w:r>
    </w:p>
    <w:p w14:paraId="28E0C790" w14:textId="4E41625B" w:rsidR="000B6848" w:rsidRDefault="000B6848" w:rsidP="00300ADC">
      <w:pPr>
        <w:jc w:val="both"/>
      </w:pPr>
      <w:r w:rsidRPr="000B6848">
        <w:t>c) Para la instalación de las infraestructuras IT (aplicable a centros de datos), se seguirá la versión más reciente del Código de conducta europeo sobre eficiencia energética de centros de datos, o en el documento CEN-</w:t>
      </w:r>
      <w:r w:rsidRPr="000B6848">
        <w:lastRenderedPageBreak/>
        <w:t>CENELEC CLC TR50600-99-1 «Instalaciones e infraestructuras de centros de datos-Parte 99-1: Prácticas recomendadas para la gestión energética».</w:t>
      </w:r>
    </w:p>
    <w:p w14:paraId="1E40F553" w14:textId="4A09D615" w:rsidR="006B462D" w:rsidRPr="00591BED" w:rsidRDefault="006B462D" w:rsidP="00300ADC">
      <w:pPr>
        <w:jc w:val="both"/>
      </w:pPr>
      <w:r>
        <w:rPr>
          <w:highlight w:val="yellow"/>
        </w:rPr>
        <w:t>DESCRIBA</w:t>
      </w:r>
      <w:r w:rsidRPr="0063704A">
        <w:rPr>
          <w:highlight w:val="yellow"/>
        </w:rPr>
        <w:t xml:space="preserve"> CON DETALLE SUFICIENTE Y REFERENCIAS PERTINENTES </w:t>
      </w:r>
      <w:r>
        <w:rPr>
          <w:highlight w:val="yellow"/>
        </w:rPr>
        <w:t xml:space="preserve">CÓMO SE HA DADO CUMPLIMIENTO A ESTA </w:t>
      </w:r>
      <w:r w:rsidRPr="0063704A">
        <w:rPr>
          <w:highlight w:val="yellow"/>
        </w:rPr>
        <w:t>CONDICI</w:t>
      </w:r>
      <w:r>
        <w:rPr>
          <w:highlight w:val="yellow"/>
        </w:rPr>
        <w:t>Ó</w:t>
      </w:r>
      <w:r w:rsidRPr="0063704A">
        <w:rPr>
          <w:highlight w:val="yellow"/>
        </w:rPr>
        <w:t>N</w:t>
      </w:r>
    </w:p>
    <w:p w14:paraId="3148A467" w14:textId="77777777" w:rsidR="000B6848" w:rsidRDefault="000B6848" w:rsidP="00292544">
      <w:pPr>
        <w:jc w:val="both"/>
        <w:rPr>
          <w:b/>
          <w:bCs/>
        </w:rPr>
      </w:pPr>
    </w:p>
    <w:p w14:paraId="7AD0E8BF" w14:textId="79399651" w:rsidR="00292544" w:rsidRDefault="00292544" w:rsidP="00292544">
      <w:pPr>
        <w:jc w:val="both"/>
        <w:rPr>
          <w:b/>
          <w:bCs/>
        </w:rPr>
      </w:pPr>
      <w:r>
        <w:rPr>
          <w:b/>
          <w:bCs/>
        </w:rPr>
        <w:t xml:space="preserve">Condición específica </w:t>
      </w:r>
      <w:proofErr w:type="spellStart"/>
      <w:r>
        <w:rPr>
          <w:b/>
          <w:bCs/>
        </w:rPr>
        <w:t>nº</w:t>
      </w:r>
      <w:proofErr w:type="spellEnd"/>
      <w:r>
        <w:rPr>
          <w:b/>
          <w:bCs/>
        </w:rPr>
        <w:t xml:space="preserve"> 2: </w:t>
      </w:r>
      <w:r w:rsidRPr="006014B0">
        <w:rPr>
          <w:b/>
          <w:bCs/>
        </w:rPr>
        <w:t xml:space="preserve"> </w:t>
      </w:r>
    </w:p>
    <w:p w14:paraId="4AF718F1" w14:textId="1355C75D" w:rsidR="00300ADC" w:rsidRPr="00300ADC" w:rsidRDefault="00300ADC" w:rsidP="00300ADC">
      <w:pPr>
        <w:jc w:val="both"/>
      </w:pPr>
      <w:r w:rsidRPr="00300ADC">
        <w:t>2.</w:t>
      </w:r>
      <w:r w:rsidR="000B6848">
        <w:t xml:space="preserve"> </w:t>
      </w:r>
      <w:r w:rsidR="000B6848" w:rsidRPr="000B6848">
        <w:t>En relación con los posibles efectos adversos de las condiciones climáticas actuales y de las previstas en el futuro, sobre sí misma o en las personas, la naturaleza o los activos, se realizará una evaluación del riesgo climático y la vulnerabilidad de las instalaciones y en su caso, se establecerán las soluciones de adaptación adecuadas para cada caso.</w:t>
      </w:r>
    </w:p>
    <w:p w14:paraId="078D40AF" w14:textId="06189F67" w:rsidR="006B462D" w:rsidRPr="00591BED" w:rsidRDefault="006B462D" w:rsidP="00BF7FB8">
      <w:pPr>
        <w:jc w:val="both"/>
      </w:pPr>
      <w:r>
        <w:rPr>
          <w:highlight w:val="yellow"/>
        </w:rPr>
        <w:t>DESCRIBA</w:t>
      </w:r>
      <w:r w:rsidRPr="0063704A">
        <w:rPr>
          <w:highlight w:val="yellow"/>
        </w:rPr>
        <w:t xml:space="preserve"> CON DETALLE SUFICIENTE Y REFERENCIAS PERTINENTES </w:t>
      </w:r>
      <w:r>
        <w:rPr>
          <w:highlight w:val="yellow"/>
        </w:rPr>
        <w:t xml:space="preserve">CÓMO SE HA DADO CUMPLIMIENTO A ESTA </w:t>
      </w:r>
      <w:r w:rsidRPr="0063704A">
        <w:rPr>
          <w:highlight w:val="yellow"/>
        </w:rPr>
        <w:t>CONDICI</w:t>
      </w:r>
      <w:r>
        <w:rPr>
          <w:highlight w:val="yellow"/>
        </w:rPr>
        <w:t>Ó</w:t>
      </w:r>
      <w:r w:rsidRPr="0063704A">
        <w:rPr>
          <w:highlight w:val="yellow"/>
        </w:rPr>
        <w:t>N</w:t>
      </w:r>
    </w:p>
    <w:p w14:paraId="568CF902" w14:textId="77777777" w:rsidR="000B6848" w:rsidRDefault="000B6848" w:rsidP="001178CA">
      <w:pPr>
        <w:jc w:val="both"/>
        <w:rPr>
          <w:b/>
          <w:bCs/>
        </w:rPr>
      </w:pPr>
    </w:p>
    <w:p w14:paraId="634BC015" w14:textId="769FC69F" w:rsidR="00292544" w:rsidRPr="006014B0" w:rsidRDefault="00292544" w:rsidP="00292544">
      <w:pPr>
        <w:jc w:val="both"/>
        <w:rPr>
          <w:b/>
          <w:bCs/>
        </w:rPr>
      </w:pPr>
      <w:r>
        <w:rPr>
          <w:b/>
          <w:bCs/>
        </w:rPr>
        <w:t xml:space="preserve">Condición específica </w:t>
      </w:r>
      <w:proofErr w:type="spellStart"/>
      <w:r>
        <w:rPr>
          <w:b/>
          <w:bCs/>
        </w:rPr>
        <w:t>nº</w:t>
      </w:r>
      <w:proofErr w:type="spellEnd"/>
      <w:r>
        <w:rPr>
          <w:b/>
          <w:bCs/>
        </w:rPr>
        <w:t xml:space="preserve"> 3: </w:t>
      </w:r>
      <w:r w:rsidRPr="006014B0">
        <w:rPr>
          <w:b/>
          <w:bCs/>
        </w:rPr>
        <w:t xml:space="preserve"> </w:t>
      </w:r>
    </w:p>
    <w:p w14:paraId="1D9F83BE" w14:textId="77777777" w:rsidR="00300ADC" w:rsidRPr="00300ADC" w:rsidRDefault="00300ADC" w:rsidP="00300ADC">
      <w:pPr>
        <w:jc w:val="both"/>
      </w:pPr>
      <w:r w:rsidRPr="00300ADC">
        <w:t>3. Para fomentar la economía circular se exigirá lo siguiente:</w:t>
      </w:r>
    </w:p>
    <w:p w14:paraId="41DFA1A8" w14:textId="77777777" w:rsidR="000B6848" w:rsidRPr="000B6848" w:rsidRDefault="000B6848" w:rsidP="000B6848">
      <w:pPr>
        <w:jc w:val="both"/>
      </w:pPr>
      <w:r w:rsidRPr="000B6848">
        <w:t>Los equipos utilizados cumplirán con los requisitos de eficiencia de materiales establecidos de acuerdo con la Directiva 2009/125/EC para servidores y almacenamiento de datos, u ordenadores y servidores de ordenadores o pantallas electrónicas. Los equipos no contendrán las sustancias restringidas enumeradas en el anexo II de la Directiva 2011/65/UE, excepto cuando los valores de concentración en peso en materiales homogéneos no superen los enumerados en dicho anexo. Al final de su vida útil, el equipo se someterá a una preparación para operaciones de reutilización, recuperación o reciclaje, o un tratamiento adecuado, incluida la eliminación de todos los fluidos y un tratamiento selectivo de acuerdo con el anexo VII de la Directiva 2012/19/UE.</w:t>
      </w:r>
    </w:p>
    <w:p w14:paraId="3B49843F" w14:textId="77777777" w:rsidR="000B6848" w:rsidRPr="000B6848" w:rsidRDefault="000B6848" w:rsidP="000B6848">
      <w:pPr>
        <w:jc w:val="both"/>
      </w:pPr>
      <w:r w:rsidRPr="000B6848">
        <w:t>En su caso, al menos el 70% (en peso) de los residuos de construcción y demolición no peligrosos (excluido el material natural mencionado en la categoría 17 05 04 en la Lista europea de residuos establecida por la Decisión 2000/532/EC) generados, en las actuaciones previstas en esta inversión, será preparado para su reutilización, reciclaje y recuperación de otros materiales, incluidas las operaciones de relleno utilizando residuos para sustituir otros materiales, de acuerdo con la jerarquía de residuos y el Protocolo de gestión de residuos de construcción y demolición de la UE.</w:t>
      </w:r>
    </w:p>
    <w:p w14:paraId="5D5C6C54" w14:textId="77777777" w:rsidR="000B6848" w:rsidRDefault="000B6848" w:rsidP="000B6848">
      <w:pPr>
        <w:jc w:val="both"/>
      </w:pPr>
      <w:r w:rsidRPr="000B6848">
        <w:t>Los agentes encargados de la construcción de las infraestructuras IT,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w:t>
      </w:r>
    </w:p>
    <w:p w14:paraId="337BA8A2" w14:textId="79AF83B3" w:rsidR="006B462D" w:rsidRPr="00591BED" w:rsidRDefault="006B462D" w:rsidP="000B6848">
      <w:pPr>
        <w:jc w:val="both"/>
      </w:pPr>
      <w:r>
        <w:rPr>
          <w:highlight w:val="yellow"/>
        </w:rPr>
        <w:lastRenderedPageBreak/>
        <w:t>DESCRIBA</w:t>
      </w:r>
      <w:r w:rsidRPr="0063704A">
        <w:rPr>
          <w:highlight w:val="yellow"/>
        </w:rPr>
        <w:t xml:space="preserve"> CON DETALLE SUFICIENTE Y REFERENCIAS PERTINENTES </w:t>
      </w:r>
      <w:r>
        <w:rPr>
          <w:highlight w:val="yellow"/>
        </w:rPr>
        <w:t xml:space="preserve">CÓMO SE HA DADO CUMPLIMIENTO A ESTA </w:t>
      </w:r>
      <w:r w:rsidRPr="0063704A">
        <w:rPr>
          <w:highlight w:val="yellow"/>
        </w:rPr>
        <w:t>CONDICI</w:t>
      </w:r>
      <w:r>
        <w:rPr>
          <w:highlight w:val="yellow"/>
        </w:rPr>
        <w:t>Ó</w:t>
      </w:r>
      <w:r w:rsidRPr="0063704A">
        <w:rPr>
          <w:highlight w:val="yellow"/>
        </w:rPr>
        <w:t>N</w:t>
      </w:r>
    </w:p>
    <w:p w14:paraId="1FA750B4" w14:textId="77777777" w:rsidR="00C73764" w:rsidRDefault="00C73764" w:rsidP="001178CA">
      <w:pPr>
        <w:jc w:val="both"/>
        <w:rPr>
          <w:b/>
          <w:bCs/>
        </w:rPr>
      </w:pPr>
    </w:p>
    <w:p w14:paraId="6E2D4AD1" w14:textId="28957E3D" w:rsidR="009B6B11" w:rsidRPr="006014B0" w:rsidRDefault="009B6B11" w:rsidP="009B6B11">
      <w:pPr>
        <w:jc w:val="both"/>
        <w:rPr>
          <w:b/>
          <w:bCs/>
        </w:rPr>
      </w:pPr>
      <w:r>
        <w:rPr>
          <w:b/>
          <w:bCs/>
        </w:rPr>
        <w:t xml:space="preserve">Condición específica </w:t>
      </w:r>
      <w:proofErr w:type="spellStart"/>
      <w:r>
        <w:rPr>
          <w:b/>
          <w:bCs/>
        </w:rPr>
        <w:t>nº</w:t>
      </w:r>
      <w:proofErr w:type="spellEnd"/>
      <w:r>
        <w:rPr>
          <w:b/>
          <w:bCs/>
        </w:rPr>
        <w:t xml:space="preserve"> </w:t>
      </w:r>
      <w:r>
        <w:rPr>
          <w:b/>
          <w:bCs/>
        </w:rPr>
        <w:t>4</w:t>
      </w:r>
      <w:r>
        <w:rPr>
          <w:b/>
          <w:bCs/>
        </w:rPr>
        <w:t xml:space="preserve">: </w:t>
      </w:r>
      <w:r w:rsidRPr="006014B0">
        <w:rPr>
          <w:b/>
          <w:bCs/>
        </w:rPr>
        <w:t xml:space="preserve"> </w:t>
      </w:r>
    </w:p>
    <w:p w14:paraId="123C8B36" w14:textId="77777777" w:rsidR="00300ADC" w:rsidRPr="00300ADC" w:rsidRDefault="00300ADC" w:rsidP="00300ADC">
      <w:pPr>
        <w:jc w:val="both"/>
      </w:pPr>
      <w:r w:rsidRPr="00300ADC">
        <w:t>4. Como protección de la biodiversidad y los ecosistemas:</w:t>
      </w:r>
    </w:p>
    <w:p w14:paraId="49C8572C" w14:textId="77777777" w:rsidR="000B6848" w:rsidRDefault="000B6848" w:rsidP="00C73764">
      <w:pPr>
        <w:jc w:val="both"/>
      </w:pPr>
      <w:r w:rsidRPr="000B6848">
        <w:t>Se asegurará que las instalaciones de infraestructuras IT no afectarán negativamente a las buenas condiciones y la resiliencia de los ecosistemas, tampoco al estado de conservación de los hábitats y las especies, en particular los espacios de interés de la Unión. Por ello cuando sea preceptivo, se realizará la Evaluación de Impacto medioambiental, de acuerdo con lo establecido en la Ley 21/2013, de 9 de diciembre, de evaluación ambiental.</w:t>
      </w:r>
    </w:p>
    <w:p w14:paraId="23457FF8" w14:textId="714D9E8C" w:rsidR="002B3EBF" w:rsidRPr="00591BED" w:rsidRDefault="002B3EBF" w:rsidP="00C73764">
      <w:pPr>
        <w:jc w:val="both"/>
      </w:pPr>
      <w:r>
        <w:rPr>
          <w:highlight w:val="yellow"/>
        </w:rPr>
        <w:t>DESCRIBA</w:t>
      </w:r>
      <w:r w:rsidRPr="0063704A">
        <w:rPr>
          <w:highlight w:val="yellow"/>
        </w:rPr>
        <w:t xml:space="preserve"> CON DETALLE SUFICIENTE Y REFERENCIAS PERTINENTES </w:t>
      </w:r>
      <w:r>
        <w:rPr>
          <w:highlight w:val="yellow"/>
        </w:rPr>
        <w:t xml:space="preserve">CÓMO SE HA DADO CUMPLIMIENTO A ESTA </w:t>
      </w:r>
      <w:r w:rsidRPr="0063704A">
        <w:rPr>
          <w:highlight w:val="yellow"/>
        </w:rPr>
        <w:t>CONDICI</w:t>
      </w:r>
      <w:r>
        <w:rPr>
          <w:highlight w:val="yellow"/>
        </w:rPr>
        <w:t>Ó</w:t>
      </w:r>
      <w:r w:rsidRPr="0063704A">
        <w:rPr>
          <w:highlight w:val="yellow"/>
        </w:rPr>
        <w:t>N</w:t>
      </w:r>
    </w:p>
    <w:p w14:paraId="63BE8A21" w14:textId="77777777" w:rsidR="00C73764" w:rsidRDefault="00C73764" w:rsidP="001178CA">
      <w:pPr>
        <w:jc w:val="both"/>
        <w:rPr>
          <w:b/>
          <w:bCs/>
        </w:rPr>
      </w:pPr>
    </w:p>
    <w:p w14:paraId="6650ED54" w14:textId="6F9A8E68" w:rsidR="009B6B11" w:rsidRPr="006014B0" w:rsidRDefault="009B6B11" w:rsidP="009B6B11">
      <w:pPr>
        <w:jc w:val="both"/>
        <w:rPr>
          <w:b/>
          <w:bCs/>
        </w:rPr>
      </w:pPr>
      <w:r>
        <w:rPr>
          <w:b/>
          <w:bCs/>
        </w:rPr>
        <w:t xml:space="preserve">Condición específica </w:t>
      </w:r>
      <w:proofErr w:type="spellStart"/>
      <w:r>
        <w:rPr>
          <w:b/>
          <w:bCs/>
        </w:rPr>
        <w:t>nº</w:t>
      </w:r>
      <w:proofErr w:type="spellEnd"/>
      <w:r>
        <w:rPr>
          <w:b/>
          <w:bCs/>
        </w:rPr>
        <w:t xml:space="preserve"> </w:t>
      </w:r>
      <w:r>
        <w:rPr>
          <w:b/>
          <w:bCs/>
        </w:rPr>
        <w:t>5</w:t>
      </w:r>
      <w:r>
        <w:rPr>
          <w:b/>
          <w:bCs/>
        </w:rPr>
        <w:t xml:space="preserve">: </w:t>
      </w:r>
      <w:r w:rsidRPr="006014B0">
        <w:rPr>
          <w:b/>
          <w:bCs/>
        </w:rPr>
        <w:t xml:space="preserve"> </w:t>
      </w:r>
    </w:p>
    <w:p w14:paraId="7C550143" w14:textId="77777777" w:rsidR="00300ADC" w:rsidRDefault="00300ADC" w:rsidP="00300ADC">
      <w:pPr>
        <w:tabs>
          <w:tab w:val="left" w:pos="426"/>
        </w:tabs>
        <w:spacing w:after="0"/>
        <w:jc w:val="both"/>
      </w:pPr>
      <w:r w:rsidRPr="00300ADC">
        <w:t>5. Como medidas del uso sostenible y protección de los recursos hídricos y marinos:</w:t>
      </w:r>
    </w:p>
    <w:p w14:paraId="2F87E50A" w14:textId="77777777" w:rsidR="00300ADC" w:rsidRPr="00300ADC" w:rsidRDefault="00300ADC" w:rsidP="00300ADC">
      <w:pPr>
        <w:tabs>
          <w:tab w:val="left" w:pos="426"/>
        </w:tabs>
        <w:spacing w:after="0"/>
        <w:jc w:val="both"/>
      </w:pPr>
    </w:p>
    <w:p w14:paraId="641E7062" w14:textId="77777777" w:rsidR="00300ADC" w:rsidRDefault="00300ADC" w:rsidP="00300ADC">
      <w:pPr>
        <w:tabs>
          <w:tab w:val="left" w:pos="426"/>
        </w:tabs>
        <w:spacing w:after="0"/>
        <w:jc w:val="both"/>
      </w:pPr>
      <w:r w:rsidRPr="00300ADC">
        <w:t>a) Se asegurará que las instalaciones de infraestructuras IT no tengan un impacto negativo sobre el buen estado medioambiental de las aguas marinas y las masas de agua terrestres superficiales y subterráneas.</w:t>
      </w:r>
    </w:p>
    <w:p w14:paraId="0FB6E7FF" w14:textId="77777777" w:rsidR="00300ADC" w:rsidRPr="00300ADC" w:rsidRDefault="00300ADC" w:rsidP="00300ADC">
      <w:pPr>
        <w:tabs>
          <w:tab w:val="left" w:pos="426"/>
        </w:tabs>
        <w:spacing w:after="0"/>
        <w:jc w:val="both"/>
      </w:pPr>
    </w:p>
    <w:p w14:paraId="014A8C35" w14:textId="7ECA41FB" w:rsidR="006710CA" w:rsidRDefault="00300ADC" w:rsidP="00300ADC">
      <w:pPr>
        <w:tabs>
          <w:tab w:val="left" w:pos="426"/>
        </w:tabs>
        <w:spacing w:after="0"/>
        <w:jc w:val="both"/>
      </w:pPr>
      <w:r w:rsidRPr="00300ADC">
        <w:t>b) Se asegurará que las instalaciones de infraestructuras IT fomenten la optimización del empleo de recursos hídrico ni afectará a especies y hábitats protegidos que dependan de recursos hídricos.</w:t>
      </w:r>
    </w:p>
    <w:p w14:paraId="5B74FA12" w14:textId="77777777" w:rsidR="00300ADC" w:rsidRDefault="00300ADC" w:rsidP="00300ADC">
      <w:pPr>
        <w:tabs>
          <w:tab w:val="left" w:pos="426"/>
        </w:tabs>
        <w:spacing w:after="0"/>
        <w:jc w:val="both"/>
      </w:pPr>
    </w:p>
    <w:p w14:paraId="28C235E8" w14:textId="394F4EB7" w:rsidR="002B3EBF" w:rsidRDefault="002B3EBF" w:rsidP="002B3EBF">
      <w:pPr>
        <w:jc w:val="both"/>
      </w:pPr>
      <w:r>
        <w:rPr>
          <w:highlight w:val="yellow"/>
        </w:rPr>
        <w:t>DESCRIBA</w:t>
      </w:r>
      <w:r w:rsidRPr="0063704A">
        <w:rPr>
          <w:highlight w:val="yellow"/>
        </w:rPr>
        <w:t xml:space="preserve"> CON DETALLE SUFICIENTE Y REFERENCIAS PERTINENTES </w:t>
      </w:r>
      <w:r>
        <w:rPr>
          <w:highlight w:val="yellow"/>
        </w:rPr>
        <w:t xml:space="preserve">CÓMO SE HA DADO CUMPLIMIENTO A ESTA </w:t>
      </w:r>
      <w:r w:rsidRPr="0063704A">
        <w:rPr>
          <w:highlight w:val="yellow"/>
        </w:rPr>
        <w:t>CONDICI</w:t>
      </w:r>
      <w:r>
        <w:rPr>
          <w:highlight w:val="yellow"/>
        </w:rPr>
        <w:t>Ó</w:t>
      </w:r>
      <w:r w:rsidRPr="0063704A">
        <w:rPr>
          <w:highlight w:val="yellow"/>
        </w:rPr>
        <w:t>N</w:t>
      </w:r>
    </w:p>
    <w:p w14:paraId="349A697C" w14:textId="77777777" w:rsidR="000B6848" w:rsidRDefault="000B6848" w:rsidP="002B3EBF">
      <w:pPr>
        <w:jc w:val="both"/>
      </w:pPr>
    </w:p>
    <w:p w14:paraId="5EE25FE1" w14:textId="6DFBEE7B" w:rsidR="009B6B11" w:rsidRPr="006014B0" w:rsidRDefault="009B6B11" w:rsidP="009B6B11">
      <w:pPr>
        <w:jc w:val="both"/>
        <w:rPr>
          <w:b/>
          <w:bCs/>
        </w:rPr>
      </w:pPr>
      <w:r>
        <w:rPr>
          <w:b/>
          <w:bCs/>
        </w:rPr>
        <w:t xml:space="preserve">Condición específica </w:t>
      </w:r>
      <w:proofErr w:type="spellStart"/>
      <w:r>
        <w:rPr>
          <w:b/>
          <w:bCs/>
        </w:rPr>
        <w:t>nº</w:t>
      </w:r>
      <w:proofErr w:type="spellEnd"/>
      <w:r>
        <w:rPr>
          <w:b/>
          <w:bCs/>
        </w:rPr>
        <w:t xml:space="preserve"> </w:t>
      </w:r>
      <w:r>
        <w:rPr>
          <w:b/>
          <w:bCs/>
        </w:rPr>
        <w:t>6</w:t>
      </w:r>
      <w:r>
        <w:rPr>
          <w:b/>
          <w:bCs/>
        </w:rPr>
        <w:t xml:space="preserve">: </w:t>
      </w:r>
      <w:r w:rsidRPr="006014B0">
        <w:rPr>
          <w:b/>
          <w:bCs/>
        </w:rPr>
        <w:t xml:space="preserve"> </w:t>
      </w:r>
    </w:p>
    <w:p w14:paraId="12EA970C" w14:textId="7E2B0423" w:rsidR="00200705" w:rsidRPr="00200705" w:rsidRDefault="00200705" w:rsidP="00200705">
      <w:pPr>
        <w:jc w:val="both"/>
      </w:pPr>
      <w:r w:rsidRPr="00200705">
        <w:t xml:space="preserve">6. </w:t>
      </w:r>
      <w:r w:rsidRPr="00200705">
        <w:t>Prevención y control de la contaminación a la atmósfera, el agua o el suelo:</w:t>
      </w:r>
    </w:p>
    <w:p w14:paraId="004DCACE" w14:textId="4CB152BE" w:rsidR="00200705" w:rsidRPr="00200705" w:rsidRDefault="00200705" w:rsidP="00200705">
      <w:pPr>
        <w:jc w:val="both"/>
      </w:pPr>
      <w:r w:rsidRPr="00200705">
        <w:t>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14:paraId="5422B7A3" w14:textId="77777777" w:rsidR="00200705" w:rsidRDefault="00200705" w:rsidP="00200705">
      <w:pPr>
        <w:jc w:val="both"/>
        <w:rPr>
          <w:highlight w:val="yellow"/>
        </w:rPr>
      </w:pPr>
      <w:r>
        <w:rPr>
          <w:highlight w:val="yellow"/>
        </w:rPr>
        <w:t>DESCRIBA</w:t>
      </w:r>
      <w:r w:rsidRPr="0063704A">
        <w:rPr>
          <w:highlight w:val="yellow"/>
        </w:rPr>
        <w:t xml:space="preserve"> CON DETALLE SUFICIENTE Y REFERENCIAS PERTINENTES </w:t>
      </w:r>
      <w:r>
        <w:rPr>
          <w:highlight w:val="yellow"/>
        </w:rPr>
        <w:t xml:space="preserve">CÓMO SE HA DADO CUMPLIMIENTO A ESTA </w:t>
      </w:r>
      <w:r w:rsidRPr="0063704A">
        <w:rPr>
          <w:highlight w:val="yellow"/>
        </w:rPr>
        <w:t>CONDICI</w:t>
      </w:r>
      <w:r>
        <w:rPr>
          <w:highlight w:val="yellow"/>
        </w:rPr>
        <w:t>Ó</w:t>
      </w:r>
      <w:r w:rsidRPr="0063704A">
        <w:rPr>
          <w:highlight w:val="yellow"/>
        </w:rPr>
        <w:t>N</w:t>
      </w:r>
    </w:p>
    <w:p w14:paraId="3B497032" w14:textId="77777777" w:rsidR="00200705" w:rsidRDefault="00200705" w:rsidP="00200705">
      <w:pPr>
        <w:jc w:val="both"/>
        <w:rPr>
          <w:highlight w:val="yellow"/>
        </w:rPr>
      </w:pPr>
    </w:p>
    <w:p w14:paraId="456FBC4E" w14:textId="669A9A6A" w:rsidR="00300ADC" w:rsidRPr="002B3EBF" w:rsidRDefault="00300ADC" w:rsidP="00200705">
      <w:pPr>
        <w:jc w:val="center"/>
      </w:pPr>
      <w:r w:rsidRPr="00300ADC">
        <w:rPr>
          <w:highlight w:val="yellow"/>
        </w:rPr>
        <w:t>Firma electrónica</w:t>
      </w:r>
    </w:p>
    <w:sectPr w:rsidR="00300ADC" w:rsidRPr="002B3EBF" w:rsidSect="000051D0">
      <w:headerReference w:type="default" r:id="rId7"/>
      <w:footerReference w:type="default" r:id="rId8"/>
      <w:pgSz w:w="11910" w:h="16840"/>
      <w:pgMar w:top="1440" w:right="1080" w:bottom="1440" w:left="1080" w:header="834" w:footer="11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EA89" w14:textId="77777777" w:rsidR="00CB7B31" w:rsidRDefault="00CB7B31" w:rsidP="00CB7B31">
      <w:pPr>
        <w:spacing w:after="0" w:line="240" w:lineRule="auto"/>
      </w:pPr>
      <w:r>
        <w:separator/>
      </w:r>
    </w:p>
  </w:endnote>
  <w:endnote w:type="continuationSeparator" w:id="0">
    <w:p w14:paraId="66111F61" w14:textId="77777777" w:rsidR="00CB7B31" w:rsidRDefault="00CB7B31" w:rsidP="00CB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7090"/>
      <w:docPartObj>
        <w:docPartGallery w:val="Page Numbers (Bottom of Page)"/>
        <w:docPartUnique/>
      </w:docPartObj>
    </w:sdtPr>
    <w:sdtEndPr/>
    <w:sdtContent>
      <w:p w14:paraId="48D03802" w14:textId="75F5DEEA" w:rsidR="0025232B" w:rsidRDefault="0025232B" w:rsidP="00AB74AB">
        <w:pPr>
          <w:pStyle w:val="Piedepgina"/>
          <w:spacing w:before="240"/>
          <w:jc w:val="right"/>
        </w:pPr>
        <w:r>
          <w:fldChar w:fldCharType="begin"/>
        </w:r>
        <w:r>
          <w:instrText>PAGE   \* MERGEFORMAT</w:instrText>
        </w:r>
        <w:r>
          <w:fldChar w:fldCharType="separate"/>
        </w:r>
        <w:r>
          <w:t>2</w:t>
        </w:r>
        <w:r>
          <w:fldChar w:fldCharType="end"/>
        </w:r>
      </w:p>
    </w:sdtContent>
  </w:sdt>
  <w:p w14:paraId="35E257B3" w14:textId="77777777" w:rsidR="0025232B" w:rsidRDefault="002523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D951" w14:textId="77777777" w:rsidR="00CB7B31" w:rsidRDefault="00CB7B31" w:rsidP="00CB7B31">
      <w:pPr>
        <w:spacing w:after="0" w:line="240" w:lineRule="auto"/>
      </w:pPr>
      <w:r>
        <w:separator/>
      </w:r>
    </w:p>
  </w:footnote>
  <w:footnote w:type="continuationSeparator" w:id="0">
    <w:p w14:paraId="7D1A3E30" w14:textId="77777777" w:rsidR="00CB7B31" w:rsidRDefault="00CB7B31" w:rsidP="00CB7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BF83" w14:textId="732C6058" w:rsidR="0025232B" w:rsidRDefault="00CB7B31" w:rsidP="00CB7B31">
    <w:pPr>
      <w:pStyle w:val="Header10"/>
      <w:spacing w:before="0"/>
    </w:pPr>
    <w:r>
      <w:t xml:space="preserve"> </w:t>
    </w:r>
    <w:r>
      <w:rPr>
        <w:noProof/>
        <w:color w:val="1F497D"/>
        <w:shd w:val="clear" w:color="auto" w:fill="E6E6E6"/>
        <w:lang w:eastAsia="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146"/>
      <w:gridCol w:w="3302"/>
    </w:tblGrid>
    <w:tr w:rsidR="0025232B" w14:paraId="1758B366" w14:textId="77777777" w:rsidTr="009A50EE">
      <w:tc>
        <w:tcPr>
          <w:tcW w:w="3246" w:type="dxa"/>
          <w:vAlign w:val="center"/>
        </w:tcPr>
        <w:p w14:paraId="39C294BA" w14:textId="4CDD9884" w:rsidR="0025232B" w:rsidRDefault="0025232B" w:rsidP="009A50EE">
          <w:pPr>
            <w:pStyle w:val="Header10"/>
            <w:spacing w:before="0"/>
            <w:jc w:val="center"/>
          </w:pPr>
          <w:bookmarkStart w:id="0" w:name="_Hlk171495304"/>
          <w:r>
            <w:rPr>
              <w:noProof/>
            </w:rPr>
            <w:drawing>
              <wp:inline distT="0" distB="0" distL="0" distR="0" wp14:anchorId="6C30E40E" wp14:editId="3CBFE99A">
                <wp:extent cx="1959868" cy="512065"/>
                <wp:effectExtent l="0" t="0" r="0" b="2540"/>
                <wp:docPr id="2009268538"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68538"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59868" cy="512065"/>
                        </a:xfrm>
                        <a:prstGeom prst="rect">
                          <a:avLst/>
                        </a:prstGeom>
                      </pic:spPr>
                    </pic:pic>
                  </a:graphicData>
                </a:graphic>
              </wp:inline>
            </w:drawing>
          </w:r>
        </w:p>
      </w:tc>
      <w:tc>
        <w:tcPr>
          <w:tcW w:w="3247" w:type="dxa"/>
          <w:vAlign w:val="center"/>
        </w:tcPr>
        <w:p w14:paraId="78D0711E" w14:textId="08790529" w:rsidR="0025232B" w:rsidRDefault="0025232B" w:rsidP="009A50EE">
          <w:pPr>
            <w:pStyle w:val="Header10"/>
            <w:spacing w:before="0"/>
            <w:jc w:val="center"/>
          </w:pPr>
          <w:r>
            <w:rPr>
              <w:noProof/>
            </w:rPr>
            <w:drawing>
              <wp:inline distT="0" distB="0" distL="0" distR="0" wp14:anchorId="19B31A3B" wp14:editId="149EDEA8">
                <wp:extent cx="1830705" cy="580390"/>
                <wp:effectExtent l="0" t="0" r="0" b="0"/>
                <wp:docPr id="10821516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51612"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830705" cy="580390"/>
                        </a:xfrm>
                        <a:prstGeom prst="rect">
                          <a:avLst/>
                        </a:prstGeom>
                      </pic:spPr>
                    </pic:pic>
                  </a:graphicData>
                </a:graphic>
              </wp:inline>
            </w:drawing>
          </w:r>
        </w:p>
      </w:tc>
      <w:tc>
        <w:tcPr>
          <w:tcW w:w="3247" w:type="dxa"/>
          <w:vAlign w:val="center"/>
        </w:tcPr>
        <w:p w14:paraId="6F908C06" w14:textId="4EFFDA38" w:rsidR="0025232B" w:rsidRDefault="0025232B" w:rsidP="009A50EE">
          <w:pPr>
            <w:pStyle w:val="Header10"/>
            <w:spacing w:before="0"/>
            <w:jc w:val="center"/>
          </w:pPr>
          <w:r>
            <w:rPr>
              <w:noProof/>
            </w:rPr>
            <w:drawing>
              <wp:inline distT="0" distB="0" distL="0" distR="0" wp14:anchorId="486380D1" wp14:editId="6DA4F358">
                <wp:extent cx="1960014" cy="594881"/>
                <wp:effectExtent l="0" t="0" r="0" b="0"/>
                <wp:docPr id="66284641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46412" name="Imagen 2" descr="Texto&#10;&#10;Descripción generada automáticamente"/>
                        <pic:cNvPicPr/>
                      </pic:nvPicPr>
                      <pic:blipFill rotWithShape="1">
                        <a:blip r:embed="rId3">
                          <a:extLst>
                            <a:ext uri="{28A0092B-C50C-407E-A947-70E740481C1C}">
                              <a14:useLocalDpi xmlns:a14="http://schemas.microsoft.com/office/drawing/2010/main" val="0"/>
                            </a:ext>
                          </a:extLst>
                        </a:blip>
                        <a:srcRect t="23913" b="22126"/>
                        <a:stretch/>
                      </pic:blipFill>
                      <pic:spPr bwMode="auto">
                        <a:xfrm>
                          <a:off x="0" y="0"/>
                          <a:ext cx="2043145" cy="620112"/>
                        </a:xfrm>
                        <a:prstGeom prst="rect">
                          <a:avLst/>
                        </a:prstGeom>
                        <a:ln>
                          <a:noFill/>
                        </a:ln>
                        <a:extLst>
                          <a:ext uri="{53640926-AAD7-44D8-BBD7-CCE9431645EC}">
                            <a14:shadowObscured xmlns:a14="http://schemas.microsoft.com/office/drawing/2010/main"/>
                          </a:ext>
                        </a:extLst>
                      </pic:spPr>
                    </pic:pic>
                  </a:graphicData>
                </a:graphic>
              </wp:inline>
            </w:drawing>
          </w:r>
        </w:p>
      </w:tc>
    </w:tr>
    <w:bookmarkEnd w:id="0"/>
  </w:tbl>
  <w:p w14:paraId="6AC8615D" w14:textId="6C185766" w:rsidR="00CB7B31" w:rsidRDefault="00CB7B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519"/>
    <w:multiLevelType w:val="hybridMultilevel"/>
    <w:tmpl w:val="3F1A1FE4"/>
    <w:lvl w:ilvl="0" w:tplc="E7822ACC">
      <w:numFmt w:val="bullet"/>
      <w:lvlText w:val="-"/>
      <w:lvlJc w:val="left"/>
      <w:pPr>
        <w:ind w:left="106" w:hanging="96"/>
      </w:pPr>
      <w:rPr>
        <w:rFonts w:ascii="Calibri" w:eastAsia="Calibri" w:hAnsi="Calibri" w:cs="Calibri" w:hint="default"/>
        <w:b w:val="0"/>
        <w:bCs w:val="0"/>
        <w:i w:val="0"/>
        <w:iCs w:val="0"/>
        <w:spacing w:val="0"/>
        <w:w w:val="100"/>
        <w:sz w:val="18"/>
        <w:szCs w:val="18"/>
        <w:lang w:val="es-ES" w:eastAsia="en-US" w:bidi="ar-SA"/>
      </w:rPr>
    </w:lvl>
    <w:lvl w:ilvl="1" w:tplc="1C5086E6">
      <w:numFmt w:val="bullet"/>
      <w:lvlText w:val="•"/>
      <w:lvlJc w:val="left"/>
      <w:pPr>
        <w:ind w:left="721" w:hanging="96"/>
      </w:pPr>
      <w:rPr>
        <w:rFonts w:hint="default"/>
        <w:lang w:val="es-ES" w:eastAsia="en-US" w:bidi="ar-SA"/>
      </w:rPr>
    </w:lvl>
    <w:lvl w:ilvl="2" w:tplc="9BEE5FE0">
      <w:numFmt w:val="bullet"/>
      <w:lvlText w:val="•"/>
      <w:lvlJc w:val="left"/>
      <w:pPr>
        <w:ind w:left="1342" w:hanging="96"/>
      </w:pPr>
      <w:rPr>
        <w:rFonts w:hint="default"/>
        <w:lang w:val="es-ES" w:eastAsia="en-US" w:bidi="ar-SA"/>
      </w:rPr>
    </w:lvl>
    <w:lvl w:ilvl="3" w:tplc="84F8BD0E">
      <w:numFmt w:val="bullet"/>
      <w:lvlText w:val="•"/>
      <w:lvlJc w:val="left"/>
      <w:pPr>
        <w:ind w:left="1964" w:hanging="96"/>
      </w:pPr>
      <w:rPr>
        <w:rFonts w:hint="default"/>
        <w:lang w:val="es-ES" w:eastAsia="en-US" w:bidi="ar-SA"/>
      </w:rPr>
    </w:lvl>
    <w:lvl w:ilvl="4" w:tplc="697E938C">
      <w:numFmt w:val="bullet"/>
      <w:lvlText w:val="•"/>
      <w:lvlJc w:val="left"/>
      <w:pPr>
        <w:ind w:left="2585" w:hanging="96"/>
      </w:pPr>
      <w:rPr>
        <w:rFonts w:hint="default"/>
        <w:lang w:val="es-ES" w:eastAsia="en-US" w:bidi="ar-SA"/>
      </w:rPr>
    </w:lvl>
    <w:lvl w:ilvl="5" w:tplc="E8BC2F04">
      <w:numFmt w:val="bullet"/>
      <w:lvlText w:val="•"/>
      <w:lvlJc w:val="left"/>
      <w:pPr>
        <w:ind w:left="3207" w:hanging="96"/>
      </w:pPr>
      <w:rPr>
        <w:rFonts w:hint="default"/>
        <w:lang w:val="es-ES" w:eastAsia="en-US" w:bidi="ar-SA"/>
      </w:rPr>
    </w:lvl>
    <w:lvl w:ilvl="6" w:tplc="21004B14">
      <w:numFmt w:val="bullet"/>
      <w:lvlText w:val="•"/>
      <w:lvlJc w:val="left"/>
      <w:pPr>
        <w:ind w:left="3828" w:hanging="96"/>
      </w:pPr>
      <w:rPr>
        <w:rFonts w:hint="default"/>
        <w:lang w:val="es-ES" w:eastAsia="en-US" w:bidi="ar-SA"/>
      </w:rPr>
    </w:lvl>
    <w:lvl w:ilvl="7" w:tplc="CFE04ED6">
      <w:numFmt w:val="bullet"/>
      <w:lvlText w:val="•"/>
      <w:lvlJc w:val="left"/>
      <w:pPr>
        <w:ind w:left="4449" w:hanging="96"/>
      </w:pPr>
      <w:rPr>
        <w:rFonts w:hint="default"/>
        <w:lang w:val="es-ES" w:eastAsia="en-US" w:bidi="ar-SA"/>
      </w:rPr>
    </w:lvl>
    <w:lvl w:ilvl="8" w:tplc="E1807B3C">
      <w:numFmt w:val="bullet"/>
      <w:lvlText w:val="•"/>
      <w:lvlJc w:val="left"/>
      <w:pPr>
        <w:ind w:left="5071" w:hanging="96"/>
      </w:pPr>
      <w:rPr>
        <w:rFonts w:hint="default"/>
        <w:lang w:val="es-ES" w:eastAsia="en-US" w:bidi="ar-SA"/>
      </w:rPr>
    </w:lvl>
  </w:abstractNum>
  <w:abstractNum w:abstractNumId="1" w15:restartNumberingAfterBreak="0">
    <w:nsid w:val="0DC869E0"/>
    <w:multiLevelType w:val="hybridMultilevel"/>
    <w:tmpl w:val="2C448D8A"/>
    <w:lvl w:ilvl="0" w:tplc="AA66ACA8">
      <w:start w:val="4"/>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D33517"/>
    <w:multiLevelType w:val="hybridMultilevel"/>
    <w:tmpl w:val="1D5E23CC"/>
    <w:lvl w:ilvl="0" w:tplc="09069AAC">
      <w:start w:val="4"/>
      <w:numFmt w:val="bullet"/>
      <w:lvlText w:val="-"/>
      <w:lvlJc w:val="left"/>
      <w:pPr>
        <w:ind w:left="1070" w:hanging="360"/>
      </w:pPr>
      <w:rPr>
        <w:rFonts w:ascii="Calibri" w:eastAsiaTheme="minorHAnsi" w:hAnsi="Calibri" w:cs="Calibri" w:hint="default"/>
        <w:color w:val="auto"/>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3" w15:restartNumberingAfterBreak="0">
    <w:nsid w:val="395114A3"/>
    <w:multiLevelType w:val="hybridMultilevel"/>
    <w:tmpl w:val="D50CE234"/>
    <w:lvl w:ilvl="0" w:tplc="9D8ED1C4">
      <w:numFmt w:val="bullet"/>
      <w:lvlText w:val="-"/>
      <w:lvlJc w:val="left"/>
      <w:pPr>
        <w:ind w:left="106" w:hanging="219"/>
      </w:pPr>
      <w:rPr>
        <w:rFonts w:ascii="Bahnschrift" w:eastAsia="Bahnschrift" w:hAnsi="Bahnschrift" w:cs="Bahnschrift" w:hint="default"/>
        <w:b w:val="0"/>
        <w:bCs w:val="0"/>
        <w:i w:val="0"/>
        <w:iCs w:val="0"/>
        <w:spacing w:val="0"/>
        <w:w w:val="100"/>
        <w:sz w:val="18"/>
        <w:szCs w:val="18"/>
        <w:lang w:val="es-ES" w:eastAsia="en-US" w:bidi="ar-SA"/>
      </w:rPr>
    </w:lvl>
    <w:lvl w:ilvl="1" w:tplc="E922522A">
      <w:numFmt w:val="bullet"/>
      <w:lvlText w:val="•"/>
      <w:lvlJc w:val="left"/>
      <w:pPr>
        <w:ind w:left="721" w:hanging="219"/>
      </w:pPr>
      <w:rPr>
        <w:rFonts w:hint="default"/>
        <w:lang w:val="es-ES" w:eastAsia="en-US" w:bidi="ar-SA"/>
      </w:rPr>
    </w:lvl>
    <w:lvl w:ilvl="2" w:tplc="AF9CA5CC">
      <w:numFmt w:val="bullet"/>
      <w:lvlText w:val="•"/>
      <w:lvlJc w:val="left"/>
      <w:pPr>
        <w:ind w:left="1342" w:hanging="219"/>
      </w:pPr>
      <w:rPr>
        <w:rFonts w:hint="default"/>
        <w:lang w:val="es-ES" w:eastAsia="en-US" w:bidi="ar-SA"/>
      </w:rPr>
    </w:lvl>
    <w:lvl w:ilvl="3" w:tplc="FA7C176A">
      <w:numFmt w:val="bullet"/>
      <w:lvlText w:val="•"/>
      <w:lvlJc w:val="left"/>
      <w:pPr>
        <w:ind w:left="1964" w:hanging="219"/>
      </w:pPr>
      <w:rPr>
        <w:rFonts w:hint="default"/>
        <w:lang w:val="es-ES" w:eastAsia="en-US" w:bidi="ar-SA"/>
      </w:rPr>
    </w:lvl>
    <w:lvl w:ilvl="4" w:tplc="BA4CA438">
      <w:numFmt w:val="bullet"/>
      <w:lvlText w:val="•"/>
      <w:lvlJc w:val="left"/>
      <w:pPr>
        <w:ind w:left="2585" w:hanging="219"/>
      </w:pPr>
      <w:rPr>
        <w:rFonts w:hint="default"/>
        <w:lang w:val="es-ES" w:eastAsia="en-US" w:bidi="ar-SA"/>
      </w:rPr>
    </w:lvl>
    <w:lvl w:ilvl="5" w:tplc="A8E62924">
      <w:numFmt w:val="bullet"/>
      <w:lvlText w:val="•"/>
      <w:lvlJc w:val="left"/>
      <w:pPr>
        <w:ind w:left="3207" w:hanging="219"/>
      </w:pPr>
      <w:rPr>
        <w:rFonts w:hint="default"/>
        <w:lang w:val="es-ES" w:eastAsia="en-US" w:bidi="ar-SA"/>
      </w:rPr>
    </w:lvl>
    <w:lvl w:ilvl="6" w:tplc="CDFE11D0">
      <w:numFmt w:val="bullet"/>
      <w:lvlText w:val="•"/>
      <w:lvlJc w:val="left"/>
      <w:pPr>
        <w:ind w:left="3828" w:hanging="219"/>
      </w:pPr>
      <w:rPr>
        <w:rFonts w:hint="default"/>
        <w:lang w:val="es-ES" w:eastAsia="en-US" w:bidi="ar-SA"/>
      </w:rPr>
    </w:lvl>
    <w:lvl w:ilvl="7" w:tplc="CF7C50C6">
      <w:numFmt w:val="bullet"/>
      <w:lvlText w:val="•"/>
      <w:lvlJc w:val="left"/>
      <w:pPr>
        <w:ind w:left="4449" w:hanging="219"/>
      </w:pPr>
      <w:rPr>
        <w:rFonts w:hint="default"/>
        <w:lang w:val="es-ES" w:eastAsia="en-US" w:bidi="ar-SA"/>
      </w:rPr>
    </w:lvl>
    <w:lvl w:ilvl="8" w:tplc="38B002E6">
      <w:numFmt w:val="bullet"/>
      <w:lvlText w:val="•"/>
      <w:lvlJc w:val="left"/>
      <w:pPr>
        <w:ind w:left="5071" w:hanging="219"/>
      </w:pPr>
      <w:rPr>
        <w:rFonts w:hint="default"/>
        <w:lang w:val="es-ES" w:eastAsia="en-US" w:bidi="ar-SA"/>
      </w:rPr>
    </w:lvl>
  </w:abstractNum>
  <w:abstractNum w:abstractNumId="4" w15:restartNumberingAfterBreak="0">
    <w:nsid w:val="504943D8"/>
    <w:multiLevelType w:val="hybridMultilevel"/>
    <w:tmpl w:val="FB2C6FA4"/>
    <w:lvl w:ilvl="0" w:tplc="71487BC6">
      <w:start w:val="1"/>
      <w:numFmt w:val="lowerRoman"/>
      <w:lvlText w:val="(%1)"/>
      <w:lvlJc w:val="left"/>
      <w:pPr>
        <w:ind w:left="107" w:hanging="192"/>
      </w:pPr>
      <w:rPr>
        <w:rFonts w:ascii="Calibri" w:eastAsia="Calibri" w:hAnsi="Calibri" w:cs="Calibri" w:hint="default"/>
        <w:b w:val="0"/>
        <w:bCs w:val="0"/>
        <w:i w:val="0"/>
        <w:iCs w:val="0"/>
        <w:spacing w:val="-1"/>
        <w:w w:val="100"/>
        <w:sz w:val="18"/>
        <w:szCs w:val="18"/>
        <w:lang w:val="es-ES" w:eastAsia="en-US" w:bidi="ar-SA"/>
      </w:rPr>
    </w:lvl>
    <w:lvl w:ilvl="1" w:tplc="D032AEAE">
      <w:numFmt w:val="bullet"/>
      <w:lvlText w:val="•"/>
      <w:lvlJc w:val="left"/>
      <w:pPr>
        <w:ind w:left="343" w:hanging="192"/>
      </w:pPr>
      <w:rPr>
        <w:rFonts w:hint="default"/>
        <w:lang w:val="es-ES" w:eastAsia="en-US" w:bidi="ar-SA"/>
      </w:rPr>
    </w:lvl>
    <w:lvl w:ilvl="2" w:tplc="BC70B0DC">
      <w:numFmt w:val="bullet"/>
      <w:lvlText w:val="•"/>
      <w:lvlJc w:val="left"/>
      <w:pPr>
        <w:ind w:left="587" w:hanging="192"/>
      </w:pPr>
      <w:rPr>
        <w:rFonts w:hint="default"/>
        <w:lang w:val="es-ES" w:eastAsia="en-US" w:bidi="ar-SA"/>
      </w:rPr>
    </w:lvl>
    <w:lvl w:ilvl="3" w:tplc="74A8E020">
      <w:numFmt w:val="bullet"/>
      <w:lvlText w:val="•"/>
      <w:lvlJc w:val="left"/>
      <w:pPr>
        <w:ind w:left="831" w:hanging="192"/>
      </w:pPr>
      <w:rPr>
        <w:rFonts w:hint="default"/>
        <w:lang w:val="es-ES" w:eastAsia="en-US" w:bidi="ar-SA"/>
      </w:rPr>
    </w:lvl>
    <w:lvl w:ilvl="4" w:tplc="EBB87A1A">
      <w:numFmt w:val="bullet"/>
      <w:lvlText w:val="•"/>
      <w:lvlJc w:val="left"/>
      <w:pPr>
        <w:ind w:left="1075" w:hanging="192"/>
      </w:pPr>
      <w:rPr>
        <w:rFonts w:hint="default"/>
        <w:lang w:val="es-ES" w:eastAsia="en-US" w:bidi="ar-SA"/>
      </w:rPr>
    </w:lvl>
    <w:lvl w:ilvl="5" w:tplc="BB008922">
      <w:numFmt w:val="bullet"/>
      <w:lvlText w:val="•"/>
      <w:lvlJc w:val="left"/>
      <w:pPr>
        <w:ind w:left="1319" w:hanging="192"/>
      </w:pPr>
      <w:rPr>
        <w:rFonts w:hint="default"/>
        <w:lang w:val="es-ES" w:eastAsia="en-US" w:bidi="ar-SA"/>
      </w:rPr>
    </w:lvl>
    <w:lvl w:ilvl="6" w:tplc="7AA20A3C">
      <w:numFmt w:val="bullet"/>
      <w:lvlText w:val="•"/>
      <w:lvlJc w:val="left"/>
      <w:pPr>
        <w:ind w:left="1563" w:hanging="192"/>
      </w:pPr>
      <w:rPr>
        <w:rFonts w:hint="default"/>
        <w:lang w:val="es-ES" w:eastAsia="en-US" w:bidi="ar-SA"/>
      </w:rPr>
    </w:lvl>
    <w:lvl w:ilvl="7" w:tplc="ED9C0450">
      <w:numFmt w:val="bullet"/>
      <w:lvlText w:val="•"/>
      <w:lvlJc w:val="left"/>
      <w:pPr>
        <w:ind w:left="1807" w:hanging="192"/>
      </w:pPr>
      <w:rPr>
        <w:rFonts w:hint="default"/>
        <w:lang w:val="es-ES" w:eastAsia="en-US" w:bidi="ar-SA"/>
      </w:rPr>
    </w:lvl>
    <w:lvl w:ilvl="8" w:tplc="BF584B6A">
      <w:numFmt w:val="bullet"/>
      <w:lvlText w:val="•"/>
      <w:lvlJc w:val="left"/>
      <w:pPr>
        <w:ind w:left="2051" w:hanging="192"/>
      </w:pPr>
      <w:rPr>
        <w:rFonts w:hint="default"/>
        <w:lang w:val="es-ES" w:eastAsia="en-US" w:bidi="ar-SA"/>
      </w:rPr>
    </w:lvl>
  </w:abstractNum>
  <w:abstractNum w:abstractNumId="5" w15:restartNumberingAfterBreak="0">
    <w:nsid w:val="57CF712F"/>
    <w:multiLevelType w:val="hybridMultilevel"/>
    <w:tmpl w:val="C6A417BC"/>
    <w:lvl w:ilvl="0" w:tplc="004EF940">
      <w:start w:val="1"/>
      <w:numFmt w:val="lowerRoman"/>
      <w:lvlText w:val="(%1)"/>
      <w:lvlJc w:val="left"/>
      <w:pPr>
        <w:ind w:left="107" w:hanging="274"/>
      </w:pPr>
      <w:rPr>
        <w:rFonts w:ascii="Calibri" w:eastAsia="Calibri" w:hAnsi="Calibri" w:cs="Calibri" w:hint="default"/>
        <w:b w:val="0"/>
        <w:bCs w:val="0"/>
        <w:i w:val="0"/>
        <w:iCs w:val="0"/>
        <w:spacing w:val="-1"/>
        <w:w w:val="100"/>
        <w:sz w:val="18"/>
        <w:szCs w:val="18"/>
        <w:lang w:val="es-ES" w:eastAsia="en-US" w:bidi="ar-SA"/>
      </w:rPr>
    </w:lvl>
    <w:lvl w:ilvl="1" w:tplc="C036874C">
      <w:numFmt w:val="bullet"/>
      <w:lvlText w:val="•"/>
      <w:lvlJc w:val="left"/>
      <w:pPr>
        <w:ind w:left="343" w:hanging="274"/>
      </w:pPr>
      <w:rPr>
        <w:rFonts w:hint="default"/>
        <w:lang w:val="es-ES" w:eastAsia="en-US" w:bidi="ar-SA"/>
      </w:rPr>
    </w:lvl>
    <w:lvl w:ilvl="2" w:tplc="E020B520">
      <w:numFmt w:val="bullet"/>
      <w:lvlText w:val="•"/>
      <w:lvlJc w:val="left"/>
      <w:pPr>
        <w:ind w:left="587" w:hanging="274"/>
      </w:pPr>
      <w:rPr>
        <w:rFonts w:hint="default"/>
        <w:lang w:val="es-ES" w:eastAsia="en-US" w:bidi="ar-SA"/>
      </w:rPr>
    </w:lvl>
    <w:lvl w:ilvl="3" w:tplc="091A8934">
      <w:numFmt w:val="bullet"/>
      <w:lvlText w:val="•"/>
      <w:lvlJc w:val="left"/>
      <w:pPr>
        <w:ind w:left="831" w:hanging="274"/>
      </w:pPr>
      <w:rPr>
        <w:rFonts w:hint="default"/>
        <w:lang w:val="es-ES" w:eastAsia="en-US" w:bidi="ar-SA"/>
      </w:rPr>
    </w:lvl>
    <w:lvl w:ilvl="4" w:tplc="0D862DE8">
      <w:numFmt w:val="bullet"/>
      <w:lvlText w:val="•"/>
      <w:lvlJc w:val="left"/>
      <w:pPr>
        <w:ind w:left="1075" w:hanging="274"/>
      </w:pPr>
      <w:rPr>
        <w:rFonts w:hint="default"/>
        <w:lang w:val="es-ES" w:eastAsia="en-US" w:bidi="ar-SA"/>
      </w:rPr>
    </w:lvl>
    <w:lvl w:ilvl="5" w:tplc="62E20078">
      <w:numFmt w:val="bullet"/>
      <w:lvlText w:val="•"/>
      <w:lvlJc w:val="left"/>
      <w:pPr>
        <w:ind w:left="1319" w:hanging="274"/>
      </w:pPr>
      <w:rPr>
        <w:rFonts w:hint="default"/>
        <w:lang w:val="es-ES" w:eastAsia="en-US" w:bidi="ar-SA"/>
      </w:rPr>
    </w:lvl>
    <w:lvl w:ilvl="6" w:tplc="75C8D43C">
      <w:numFmt w:val="bullet"/>
      <w:lvlText w:val="•"/>
      <w:lvlJc w:val="left"/>
      <w:pPr>
        <w:ind w:left="1563" w:hanging="274"/>
      </w:pPr>
      <w:rPr>
        <w:rFonts w:hint="default"/>
        <w:lang w:val="es-ES" w:eastAsia="en-US" w:bidi="ar-SA"/>
      </w:rPr>
    </w:lvl>
    <w:lvl w:ilvl="7" w:tplc="84148236">
      <w:numFmt w:val="bullet"/>
      <w:lvlText w:val="•"/>
      <w:lvlJc w:val="left"/>
      <w:pPr>
        <w:ind w:left="1807" w:hanging="274"/>
      </w:pPr>
      <w:rPr>
        <w:rFonts w:hint="default"/>
        <w:lang w:val="es-ES" w:eastAsia="en-US" w:bidi="ar-SA"/>
      </w:rPr>
    </w:lvl>
    <w:lvl w:ilvl="8" w:tplc="F5B60312">
      <w:numFmt w:val="bullet"/>
      <w:lvlText w:val="•"/>
      <w:lvlJc w:val="left"/>
      <w:pPr>
        <w:ind w:left="2051" w:hanging="274"/>
      </w:pPr>
      <w:rPr>
        <w:rFonts w:hint="default"/>
        <w:lang w:val="es-ES" w:eastAsia="en-US" w:bidi="ar-SA"/>
      </w:rPr>
    </w:lvl>
  </w:abstractNum>
  <w:abstractNum w:abstractNumId="6" w15:restartNumberingAfterBreak="0">
    <w:nsid w:val="5ACC0D7B"/>
    <w:multiLevelType w:val="hybridMultilevel"/>
    <w:tmpl w:val="B9A47866"/>
    <w:lvl w:ilvl="0" w:tplc="7B1C6C38">
      <w:start w:val="1"/>
      <w:numFmt w:val="lowerRoman"/>
      <w:lvlText w:val="(%1)"/>
      <w:lvlJc w:val="left"/>
      <w:pPr>
        <w:ind w:left="107" w:hanging="192"/>
      </w:pPr>
      <w:rPr>
        <w:rFonts w:ascii="Calibri" w:eastAsia="Calibri" w:hAnsi="Calibri" w:cs="Calibri" w:hint="default"/>
        <w:b w:val="0"/>
        <w:bCs w:val="0"/>
        <w:i w:val="0"/>
        <w:iCs w:val="0"/>
        <w:spacing w:val="-1"/>
        <w:w w:val="100"/>
        <w:sz w:val="18"/>
        <w:szCs w:val="18"/>
        <w:lang w:val="es-ES" w:eastAsia="en-US" w:bidi="ar-SA"/>
      </w:rPr>
    </w:lvl>
    <w:lvl w:ilvl="1" w:tplc="0B9A5616">
      <w:numFmt w:val="bullet"/>
      <w:lvlText w:val="•"/>
      <w:lvlJc w:val="left"/>
      <w:pPr>
        <w:ind w:left="343" w:hanging="192"/>
      </w:pPr>
      <w:rPr>
        <w:rFonts w:hint="default"/>
        <w:lang w:val="es-ES" w:eastAsia="en-US" w:bidi="ar-SA"/>
      </w:rPr>
    </w:lvl>
    <w:lvl w:ilvl="2" w:tplc="FB56D5CC">
      <w:numFmt w:val="bullet"/>
      <w:lvlText w:val="•"/>
      <w:lvlJc w:val="left"/>
      <w:pPr>
        <w:ind w:left="587" w:hanging="192"/>
      </w:pPr>
      <w:rPr>
        <w:rFonts w:hint="default"/>
        <w:lang w:val="es-ES" w:eastAsia="en-US" w:bidi="ar-SA"/>
      </w:rPr>
    </w:lvl>
    <w:lvl w:ilvl="3" w:tplc="7C508218">
      <w:numFmt w:val="bullet"/>
      <w:lvlText w:val="•"/>
      <w:lvlJc w:val="left"/>
      <w:pPr>
        <w:ind w:left="831" w:hanging="192"/>
      </w:pPr>
      <w:rPr>
        <w:rFonts w:hint="default"/>
        <w:lang w:val="es-ES" w:eastAsia="en-US" w:bidi="ar-SA"/>
      </w:rPr>
    </w:lvl>
    <w:lvl w:ilvl="4" w:tplc="64849ACA">
      <w:numFmt w:val="bullet"/>
      <w:lvlText w:val="•"/>
      <w:lvlJc w:val="left"/>
      <w:pPr>
        <w:ind w:left="1075" w:hanging="192"/>
      </w:pPr>
      <w:rPr>
        <w:rFonts w:hint="default"/>
        <w:lang w:val="es-ES" w:eastAsia="en-US" w:bidi="ar-SA"/>
      </w:rPr>
    </w:lvl>
    <w:lvl w:ilvl="5" w:tplc="E7CE7A46">
      <w:numFmt w:val="bullet"/>
      <w:lvlText w:val="•"/>
      <w:lvlJc w:val="left"/>
      <w:pPr>
        <w:ind w:left="1319" w:hanging="192"/>
      </w:pPr>
      <w:rPr>
        <w:rFonts w:hint="default"/>
        <w:lang w:val="es-ES" w:eastAsia="en-US" w:bidi="ar-SA"/>
      </w:rPr>
    </w:lvl>
    <w:lvl w:ilvl="6" w:tplc="6B586886">
      <w:numFmt w:val="bullet"/>
      <w:lvlText w:val="•"/>
      <w:lvlJc w:val="left"/>
      <w:pPr>
        <w:ind w:left="1563" w:hanging="192"/>
      </w:pPr>
      <w:rPr>
        <w:rFonts w:hint="default"/>
        <w:lang w:val="es-ES" w:eastAsia="en-US" w:bidi="ar-SA"/>
      </w:rPr>
    </w:lvl>
    <w:lvl w:ilvl="7" w:tplc="44362C9C">
      <w:numFmt w:val="bullet"/>
      <w:lvlText w:val="•"/>
      <w:lvlJc w:val="left"/>
      <w:pPr>
        <w:ind w:left="1807" w:hanging="192"/>
      </w:pPr>
      <w:rPr>
        <w:rFonts w:hint="default"/>
        <w:lang w:val="es-ES" w:eastAsia="en-US" w:bidi="ar-SA"/>
      </w:rPr>
    </w:lvl>
    <w:lvl w:ilvl="8" w:tplc="E1727BE0">
      <w:numFmt w:val="bullet"/>
      <w:lvlText w:val="•"/>
      <w:lvlJc w:val="left"/>
      <w:pPr>
        <w:ind w:left="2051" w:hanging="192"/>
      </w:pPr>
      <w:rPr>
        <w:rFonts w:hint="default"/>
        <w:lang w:val="es-ES" w:eastAsia="en-US" w:bidi="ar-SA"/>
      </w:rPr>
    </w:lvl>
  </w:abstractNum>
  <w:num w:numId="1" w16cid:durableId="1160389041">
    <w:abstractNumId w:val="1"/>
  </w:num>
  <w:num w:numId="2" w16cid:durableId="1314798611">
    <w:abstractNumId w:val="2"/>
  </w:num>
  <w:num w:numId="3" w16cid:durableId="1364869986">
    <w:abstractNumId w:val="3"/>
  </w:num>
  <w:num w:numId="4" w16cid:durableId="1360352505">
    <w:abstractNumId w:val="4"/>
  </w:num>
  <w:num w:numId="5" w16cid:durableId="1606494760">
    <w:abstractNumId w:val="6"/>
  </w:num>
  <w:num w:numId="6" w16cid:durableId="2029485421">
    <w:abstractNumId w:val="5"/>
  </w:num>
  <w:num w:numId="7" w16cid:durableId="173246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DE"/>
    <w:rsid w:val="000051D0"/>
    <w:rsid w:val="00064045"/>
    <w:rsid w:val="00065287"/>
    <w:rsid w:val="000B6848"/>
    <w:rsid w:val="001178CA"/>
    <w:rsid w:val="00121278"/>
    <w:rsid w:val="001343A3"/>
    <w:rsid w:val="001A4255"/>
    <w:rsid w:val="00200705"/>
    <w:rsid w:val="00205935"/>
    <w:rsid w:val="002415C9"/>
    <w:rsid w:val="0025232B"/>
    <w:rsid w:val="00292544"/>
    <w:rsid w:val="002B3EBF"/>
    <w:rsid w:val="002C365C"/>
    <w:rsid w:val="00300ADC"/>
    <w:rsid w:val="0038724F"/>
    <w:rsid w:val="0041389D"/>
    <w:rsid w:val="0046208B"/>
    <w:rsid w:val="004A51E7"/>
    <w:rsid w:val="004C0097"/>
    <w:rsid w:val="004E6C90"/>
    <w:rsid w:val="00542F56"/>
    <w:rsid w:val="005D23A6"/>
    <w:rsid w:val="006238F2"/>
    <w:rsid w:val="006710CA"/>
    <w:rsid w:val="00673594"/>
    <w:rsid w:val="006A591C"/>
    <w:rsid w:val="006A617E"/>
    <w:rsid w:val="006B462D"/>
    <w:rsid w:val="00731677"/>
    <w:rsid w:val="00740E9B"/>
    <w:rsid w:val="007670C7"/>
    <w:rsid w:val="007D5953"/>
    <w:rsid w:val="0087168A"/>
    <w:rsid w:val="00991C2B"/>
    <w:rsid w:val="009A50EE"/>
    <w:rsid w:val="009B6B11"/>
    <w:rsid w:val="00A504B8"/>
    <w:rsid w:val="00AA7984"/>
    <w:rsid w:val="00AB74AB"/>
    <w:rsid w:val="00AC1A78"/>
    <w:rsid w:val="00B21A4C"/>
    <w:rsid w:val="00BB135B"/>
    <w:rsid w:val="00BB1816"/>
    <w:rsid w:val="00BF7FB8"/>
    <w:rsid w:val="00C05A8B"/>
    <w:rsid w:val="00C309D4"/>
    <w:rsid w:val="00C628BD"/>
    <w:rsid w:val="00C73362"/>
    <w:rsid w:val="00C73764"/>
    <w:rsid w:val="00C8282E"/>
    <w:rsid w:val="00CA4A93"/>
    <w:rsid w:val="00CB7B31"/>
    <w:rsid w:val="00CC2B3C"/>
    <w:rsid w:val="00CC64DE"/>
    <w:rsid w:val="00CE326A"/>
    <w:rsid w:val="00D0748E"/>
    <w:rsid w:val="00D41823"/>
    <w:rsid w:val="00D457D6"/>
    <w:rsid w:val="00D5302A"/>
    <w:rsid w:val="00D64FEE"/>
    <w:rsid w:val="00D70AE2"/>
    <w:rsid w:val="00D80372"/>
    <w:rsid w:val="00DD5C21"/>
    <w:rsid w:val="00E60286"/>
    <w:rsid w:val="00EF01CF"/>
    <w:rsid w:val="00F01B8F"/>
    <w:rsid w:val="00F80940"/>
    <w:rsid w:val="00F96CD3"/>
    <w:rsid w:val="00FA37A6"/>
    <w:rsid w:val="00FD1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7AFF24"/>
  <w15:chartTrackingRefBased/>
  <w15:docId w15:val="{4F5D3D09-18B6-437B-A5D0-2951EE5E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B1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5C9"/>
    <w:pPr>
      <w:ind w:left="720"/>
      <w:contextualSpacing/>
    </w:pPr>
  </w:style>
  <w:style w:type="character" w:styleId="Hipervnculo">
    <w:name w:val="Hyperlink"/>
    <w:basedOn w:val="Fuentedeprrafopredeter"/>
    <w:uiPriority w:val="99"/>
    <w:unhideWhenUsed/>
    <w:rsid w:val="00C8282E"/>
    <w:rPr>
      <w:color w:val="0000FF"/>
      <w:u w:val="single"/>
    </w:rPr>
  </w:style>
  <w:style w:type="table" w:customStyle="1" w:styleId="TableNormal">
    <w:name w:val="Table Normal"/>
    <w:uiPriority w:val="2"/>
    <w:semiHidden/>
    <w:unhideWhenUsed/>
    <w:qFormat/>
    <w:rsid w:val="002059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05935"/>
    <w:pPr>
      <w:widowControl w:val="0"/>
      <w:autoSpaceDE w:val="0"/>
      <w:autoSpaceDN w:val="0"/>
      <w:spacing w:after="0" w:line="240" w:lineRule="auto"/>
    </w:pPr>
    <w:rPr>
      <w:rFonts w:ascii="Calibri" w:eastAsia="Calibri" w:hAnsi="Calibri" w:cs="Calibri"/>
      <w:sz w:val="24"/>
      <w:szCs w:val="24"/>
    </w:rPr>
  </w:style>
  <w:style w:type="character" w:customStyle="1" w:styleId="TextoindependienteCar">
    <w:name w:val="Texto independiente Car"/>
    <w:basedOn w:val="Fuentedeprrafopredeter"/>
    <w:link w:val="Textoindependiente"/>
    <w:uiPriority w:val="1"/>
    <w:rsid w:val="00205935"/>
    <w:rPr>
      <w:rFonts w:ascii="Calibri" w:eastAsia="Calibri" w:hAnsi="Calibri" w:cs="Calibri"/>
      <w:sz w:val="24"/>
      <w:szCs w:val="24"/>
    </w:rPr>
  </w:style>
  <w:style w:type="paragraph" w:customStyle="1" w:styleId="TableParagraph">
    <w:name w:val="Table Paragraph"/>
    <w:basedOn w:val="Normal"/>
    <w:uiPriority w:val="1"/>
    <w:qFormat/>
    <w:rsid w:val="00205935"/>
    <w:pPr>
      <w:widowControl w:val="0"/>
      <w:autoSpaceDE w:val="0"/>
      <w:autoSpaceDN w:val="0"/>
      <w:spacing w:after="0" w:line="240" w:lineRule="auto"/>
    </w:pPr>
    <w:rPr>
      <w:rFonts w:ascii="Calibri" w:eastAsia="Calibri" w:hAnsi="Calibri" w:cs="Calibri"/>
    </w:rPr>
  </w:style>
  <w:style w:type="character" w:styleId="Mencinsinresolver">
    <w:name w:val="Unresolved Mention"/>
    <w:basedOn w:val="Fuentedeprrafopredeter"/>
    <w:uiPriority w:val="99"/>
    <w:semiHidden/>
    <w:unhideWhenUsed/>
    <w:rsid w:val="00064045"/>
    <w:rPr>
      <w:color w:val="605E5C"/>
      <w:shd w:val="clear" w:color="auto" w:fill="E1DFDD"/>
    </w:rPr>
  </w:style>
  <w:style w:type="table" w:styleId="Tablaconcuadrcula">
    <w:name w:val="Table Grid"/>
    <w:basedOn w:val="Tablanormal"/>
    <w:uiPriority w:val="39"/>
    <w:rsid w:val="006B4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B462D"/>
    <w:rPr>
      <w:color w:val="954F72" w:themeColor="followedHyperlink"/>
      <w:u w:val="single"/>
    </w:rPr>
  </w:style>
  <w:style w:type="paragraph" w:styleId="Encabezado">
    <w:name w:val="header"/>
    <w:basedOn w:val="Normal"/>
    <w:link w:val="EncabezadoCar"/>
    <w:uiPriority w:val="99"/>
    <w:unhideWhenUsed/>
    <w:rsid w:val="00CB7B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7B31"/>
  </w:style>
  <w:style w:type="paragraph" w:styleId="Piedepgina">
    <w:name w:val="footer"/>
    <w:basedOn w:val="Normal"/>
    <w:link w:val="PiedepginaCar"/>
    <w:uiPriority w:val="99"/>
    <w:unhideWhenUsed/>
    <w:rsid w:val="00CB7B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7B31"/>
  </w:style>
  <w:style w:type="character" w:customStyle="1" w:styleId="HeaderChar">
    <w:name w:val="Header Char"/>
    <w:basedOn w:val="Fuentedeprrafopredeter"/>
    <w:link w:val="Header10"/>
    <w:uiPriority w:val="99"/>
    <w:locked/>
    <w:rsid w:val="00CB7B31"/>
    <w:rPr>
      <w:rFonts w:ascii="Calibri" w:hAnsi="Calibri" w:cs="Arial"/>
      <w:szCs w:val="19"/>
    </w:rPr>
  </w:style>
  <w:style w:type="paragraph" w:customStyle="1" w:styleId="Header10">
    <w:name w:val="Header10"/>
    <w:basedOn w:val="Normal"/>
    <w:link w:val="HeaderChar"/>
    <w:uiPriority w:val="99"/>
    <w:rsid w:val="00CB7B31"/>
    <w:pPr>
      <w:tabs>
        <w:tab w:val="center" w:pos="4252"/>
        <w:tab w:val="right" w:pos="8504"/>
      </w:tabs>
      <w:spacing w:before="60" w:after="60" w:line="240" w:lineRule="auto"/>
      <w:jc w:val="both"/>
    </w:pPr>
    <w:rPr>
      <w:rFonts w:ascii="Calibri" w:hAnsi="Calibri" w:cs="Arial"/>
      <w:szCs w:val="19"/>
    </w:rPr>
  </w:style>
  <w:style w:type="paragraph" w:customStyle="1" w:styleId="Default">
    <w:name w:val="Default"/>
    <w:rsid w:val="006710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594">
      <w:bodyDiv w:val="1"/>
      <w:marLeft w:val="0"/>
      <w:marRight w:val="0"/>
      <w:marTop w:val="0"/>
      <w:marBottom w:val="0"/>
      <w:divBdr>
        <w:top w:val="none" w:sz="0" w:space="0" w:color="auto"/>
        <w:left w:val="none" w:sz="0" w:space="0" w:color="auto"/>
        <w:bottom w:val="none" w:sz="0" w:space="0" w:color="auto"/>
        <w:right w:val="none" w:sz="0" w:space="0" w:color="auto"/>
      </w:divBdr>
    </w:div>
    <w:div w:id="839613075">
      <w:bodyDiv w:val="1"/>
      <w:marLeft w:val="0"/>
      <w:marRight w:val="0"/>
      <w:marTop w:val="0"/>
      <w:marBottom w:val="0"/>
      <w:divBdr>
        <w:top w:val="none" w:sz="0" w:space="0" w:color="auto"/>
        <w:left w:val="none" w:sz="0" w:space="0" w:color="auto"/>
        <w:bottom w:val="none" w:sz="0" w:space="0" w:color="auto"/>
        <w:right w:val="none" w:sz="0" w:space="0" w:color="auto"/>
      </w:divBdr>
    </w:div>
    <w:div w:id="1130981532">
      <w:bodyDiv w:val="1"/>
      <w:marLeft w:val="0"/>
      <w:marRight w:val="0"/>
      <w:marTop w:val="0"/>
      <w:marBottom w:val="0"/>
      <w:divBdr>
        <w:top w:val="none" w:sz="0" w:space="0" w:color="auto"/>
        <w:left w:val="none" w:sz="0" w:space="0" w:color="auto"/>
        <w:bottom w:val="none" w:sz="0" w:space="0" w:color="auto"/>
        <w:right w:val="none" w:sz="0" w:space="0" w:color="auto"/>
      </w:divBdr>
    </w:div>
    <w:div w:id="1239749521">
      <w:bodyDiv w:val="1"/>
      <w:marLeft w:val="0"/>
      <w:marRight w:val="0"/>
      <w:marTop w:val="0"/>
      <w:marBottom w:val="0"/>
      <w:divBdr>
        <w:top w:val="none" w:sz="0" w:space="0" w:color="auto"/>
        <w:left w:val="none" w:sz="0" w:space="0" w:color="auto"/>
        <w:bottom w:val="none" w:sz="0" w:space="0" w:color="auto"/>
        <w:right w:val="none" w:sz="0" w:space="0" w:color="auto"/>
      </w:divBdr>
    </w:div>
    <w:div w:id="15648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D19ADF0EF7804784C13EDC530E79D3" ma:contentTypeVersion="1" ma:contentTypeDescription="Crear nuevo documento." ma:contentTypeScope="" ma:versionID="f4b372b14a8cef77f38cd4876fc31cea">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300D59-01F8-439E-88DC-B5CCCB5EFF1E}"/>
</file>

<file path=customXml/itemProps2.xml><?xml version="1.0" encoding="utf-8"?>
<ds:datastoreItem xmlns:ds="http://schemas.openxmlformats.org/officeDocument/2006/customXml" ds:itemID="{66244A22-5E2C-4694-97AD-C788E9029948}"/>
</file>

<file path=customXml/itemProps3.xml><?xml version="1.0" encoding="utf-8"?>
<ds:datastoreItem xmlns:ds="http://schemas.openxmlformats.org/officeDocument/2006/customXml" ds:itemID="{5A6C3AF1-1E63-43FC-8F45-DF5BB1C16A91}"/>
</file>

<file path=docProps/app.xml><?xml version="1.0" encoding="utf-8"?>
<Properties xmlns="http://schemas.openxmlformats.org/officeDocument/2006/extended-properties" xmlns:vt="http://schemas.openxmlformats.org/officeDocument/2006/docPropsVTypes">
  <Template>Normal.dotm</Template>
  <TotalTime>116</TotalTime>
  <Pages>3</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Sánchez, Francisco Javier</dc:creator>
  <cp:keywords/>
  <dc:description/>
  <cp:lastModifiedBy>JOSE ANTONIO PE?ARANDA MARQUES</cp:lastModifiedBy>
  <cp:revision>9</cp:revision>
  <dcterms:created xsi:type="dcterms:W3CDTF">2024-07-22T06:14:00Z</dcterms:created>
  <dcterms:modified xsi:type="dcterms:W3CDTF">2025-11-21T12:28:00Z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0x010100A0D19ADF0EF7804784C13EDC530E79D3</vt:lpwstr>
  </property>
</Properties>
</file>