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240" w:after="240"/>
        <w:jc w:val="center"/>
        <w:outlineLvl w:val="3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MODELO DE PROYCTO TÉCNICO DE ACTUACIONES DE MEJORA LAS INFRAESTRUCTURAS DE TELECOMUNICACIONES EN EDIFICIOS SEGÚN EL RD 990/2021, DE 16 DE NOVIEMBRE. ACTUACIÓN 12.b.</w:t>
      </w:r>
    </w:p>
    <w:p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(Actuación recogida en el artículo 12 apartado b) del RD 990/2021, </w:t>
      </w:r>
    </w:p>
    <w:p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en adelante actuación 12.b)</w:t>
      </w:r>
      <w:bookmarkStart w:id="0" w:name="_GoBack"/>
      <w:bookmarkEnd w:id="0"/>
    </w:p>
    <w:p>
      <w:pPr>
        <w:spacing w:after="0" w:line="276" w:lineRule="auto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>
        <w:trPr>
          <w:trHeight w:hRule="exact" w:val="2661"/>
        </w:trPr>
        <w:tc>
          <w:tcPr>
            <w:tcW w:w="1980" w:type="dxa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</w:p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Datos del edificio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Dirección:</w:t>
            </w:r>
            <w:r>
              <w:rPr>
                <w:rFonts w:eastAsia="Times New Roman" w:cstheme="minorHAnsi"/>
                <w:lang w:eastAsia="es-ES"/>
              </w:rPr>
              <w:br/>
              <w:t>Población:</w:t>
            </w:r>
            <w:r>
              <w:rPr>
                <w:rFonts w:eastAsia="Times New Roman" w:cstheme="minorHAnsi"/>
                <w:lang w:eastAsia="es-ES"/>
              </w:rPr>
              <w:br/>
              <w:t>Provincia:</w:t>
            </w:r>
            <w:r>
              <w:rPr>
                <w:rFonts w:eastAsia="Times New Roman" w:cstheme="minorHAnsi"/>
                <w:lang w:eastAsia="es-ES"/>
              </w:rPr>
              <w:br/>
              <w:t>CP:</w:t>
            </w:r>
            <w:r>
              <w:rPr>
                <w:rFonts w:eastAsia="Times New Roman" w:cstheme="minorHAnsi"/>
                <w:lang w:eastAsia="es-ES"/>
              </w:rPr>
              <w:br/>
              <w:t>Referencia catastral:</w:t>
            </w:r>
            <w:r>
              <w:rPr>
                <w:rFonts w:eastAsia="Times New Roman" w:cstheme="minorHAnsi"/>
                <w:lang w:eastAsia="es-ES"/>
              </w:rPr>
              <w:br/>
              <w:t>Año construcción:</w:t>
            </w:r>
            <w:r>
              <w:rPr>
                <w:rFonts w:eastAsia="Times New Roman" w:cstheme="minorHAnsi"/>
                <w:lang w:eastAsia="es-ES"/>
              </w:rPr>
              <w:br/>
              <w:t>Nº PAU:</w:t>
            </w:r>
            <w:r>
              <w:rPr>
                <w:rFonts w:eastAsia="Times New Roman" w:cstheme="minorHAnsi"/>
                <w:lang w:eastAsia="es-ES"/>
              </w:rPr>
              <w:br/>
              <w:t>Nº Escaleras:</w:t>
            </w:r>
          </w:p>
        </w:tc>
      </w:tr>
      <w:tr>
        <w:trPr>
          <w:trHeight w:hRule="exact" w:val="3976"/>
        </w:trPr>
        <w:tc>
          <w:tcPr>
            <w:tcW w:w="1980" w:type="dxa"/>
          </w:tcPr>
          <w:p>
            <w:pPr>
              <w:spacing w:line="240" w:lineRule="atLeast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</w:p>
          <w:p>
            <w:pPr>
              <w:spacing w:line="240" w:lineRule="atLeast"/>
              <w:jc w:val="both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 xml:space="preserve">Técnico </w:t>
            </w:r>
          </w:p>
        </w:tc>
        <w:tc>
          <w:tcPr>
            <w:tcW w:w="6514" w:type="dxa"/>
            <w:gridSpan w:val="2"/>
            <w:vAlign w:val="center"/>
          </w:tcPr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Apellidos y Nombre: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DNI: 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Titulado/a competente en materia de infraestructuras comunes de telecomunicaciones (ICT), habilitado para el 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ejercicio de la profesión de: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 xml:space="preserve">Especialidad: 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Domicilio:</w:t>
            </w:r>
          </w:p>
          <w:p>
            <w:pPr>
              <w:pStyle w:val="Prrafodelista"/>
              <w:spacing w:line="240" w:lineRule="atLeast"/>
              <w:ind w:left="0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Fecha de realización:</w:t>
            </w:r>
            <w:r>
              <w:rPr>
                <w:rFonts w:eastAsia="Times New Roman" w:cstheme="minorHAnsi"/>
                <w:lang w:eastAsia="es-ES"/>
              </w:rPr>
              <w:br/>
              <w:t>Teléfono de contacto:</w:t>
            </w:r>
            <w:r>
              <w:rPr>
                <w:rFonts w:eastAsia="Times New Roman" w:cstheme="minorHAnsi"/>
                <w:lang w:eastAsia="es-ES"/>
              </w:rPr>
              <w:br/>
              <w:t>E-mail:</w:t>
            </w:r>
          </w:p>
        </w:tc>
      </w:tr>
      <w:tr>
        <w:trPr>
          <w:trHeight w:hRule="exact" w:val="846"/>
        </w:trPr>
        <w:tc>
          <w:tcPr>
            <w:tcW w:w="1980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Firmado técnico</w:t>
            </w:r>
          </w:p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 xml:space="preserve">competente </w:t>
            </w:r>
          </w:p>
        </w:tc>
        <w:tc>
          <w:tcPr>
            <w:tcW w:w="6514" w:type="dxa"/>
            <w:gridSpan w:val="2"/>
          </w:tcPr>
          <w:p>
            <w:pPr>
              <w:spacing w:line="240" w:lineRule="atLeast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  <w:tr>
        <w:trPr>
          <w:trHeight w:hRule="exact" w:val="714"/>
        </w:trPr>
        <w:tc>
          <w:tcPr>
            <w:tcW w:w="1980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b/>
              </w:rPr>
              <w:t>Verificado por (en su caso)</w:t>
            </w:r>
          </w:p>
        </w:tc>
        <w:tc>
          <w:tcPr>
            <w:tcW w:w="3402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Entidad:</w:t>
            </w:r>
          </w:p>
        </w:tc>
        <w:tc>
          <w:tcPr>
            <w:tcW w:w="3112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lang w:eastAsia="es-ES"/>
              </w:rPr>
            </w:pPr>
            <w:r>
              <w:rPr>
                <w:rFonts w:eastAsia="Times New Roman" w:cstheme="minorHAnsi"/>
                <w:lang w:eastAsia="es-ES"/>
              </w:rPr>
              <w:t>Nº verificación:</w:t>
            </w:r>
          </w:p>
        </w:tc>
      </w:tr>
      <w:tr>
        <w:trPr>
          <w:trHeight w:hRule="exact" w:val="695"/>
        </w:trPr>
        <w:tc>
          <w:tcPr>
            <w:tcW w:w="1980" w:type="dxa"/>
            <w:vAlign w:val="center"/>
          </w:tcPr>
          <w:p>
            <w:pPr>
              <w:spacing w:line="240" w:lineRule="atLeast"/>
              <w:rPr>
                <w:rFonts w:eastAsia="Times New Roman" w:cstheme="minorHAnsi"/>
                <w:b/>
                <w:bCs/>
                <w:lang w:eastAsia="es-ES"/>
              </w:rPr>
            </w:pPr>
            <w:r>
              <w:rPr>
                <w:rFonts w:eastAsia="Times New Roman" w:cstheme="minorHAnsi"/>
                <w:b/>
                <w:bCs/>
                <w:lang w:eastAsia="es-ES"/>
              </w:rPr>
              <w:t>Fecha</w:t>
            </w:r>
          </w:p>
        </w:tc>
        <w:tc>
          <w:tcPr>
            <w:tcW w:w="6514" w:type="dxa"/>
            <w:gridSpan w:val="2"/>
          </w:tcPr>
          <w:p>
            <w:pPr>
              <w:spacing w:line="240" w:lineRule="atLeast"/>
              <w:jc w:val="both"/>
              <w:rPr>
                <w:rFonts w:eastAsia="Times New Roman" w:cstheme="minorHAnsi"/>
                <w:lang w:eastAsia="es-ES"/>
              </w:rPr>
            </w:pPr>
          </w:p>
        </w:tc>
      </w:tr>
    </w:tbl>
    <w:p>
      <w:pPr>
        <w:pStyle w:val="centrocursiva"/>
        <w:shd w:val="clear" w:color="auto" w:fill="FFFFFF"/>
        <w:spacing w:before="300" w:beforeAutospacing="0" w:after="240" w:afterAutospacing="0"/>
        <w:ind w:firstLine="36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>
      <w:pPr>
        <w:rPr>
          <w:rFonts w:eastAsia="Times New Roman" w:cstheme="minorHAnsi"/>
          <w:b/>
          <w:bCs/>
          <w:i/>
          <w:iCs/>
          <w:lang w:eastAsia="es-ES"/>
        </w:rPr>
      </w:pPr>
      <w:r>
        <w:rPr>
          <w:rFonts w:cstheme="minorHAnsi"/>
          <w:b/>
          <w:bCs/>
          <w:i/>
          <w:iCs/>
        </w:rPr>
        <w:br w:type="page"/>
      </w:r>
    </w:p>
    <w:p>
      <w:pPr>
        <w:pStyle w:val="centrocursiva"/>
        <w:shd w:val="clear" w:color="auto" w:fill="FFFFFF"/>
        <w:spacing w:before="300" w:beforeAutospacing="0" w:after="240" w:afterAutospacing="0"/>
        <w:ind w:firstLine="36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MEMORIA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 Datos generales</w:t>
      </w:r>
    </w:p>
    <w:p>
      <w:pPr>
        <w:pStyle w:val="parrafo2"/>
        <w:shd w:val="clear" w:color="auto" w:fill="FFFFFF"/>
        <w:spacing w:before="360" w:beforeAutospacing="0" w:after="18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 Datos y descripción del edificio</w:t>
      </w:r>
    </w:p>
    <w:p>
      <w:pPr>
        <w:pStyle w:val="parrafo"/>
        <w:shd w:val="clear" w:color="auto" w:fill="FFFFFF"/>
        <w:spacing w:before="180" w:beforeAutospacing="0" w:after="18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1.2 Objeto del Proyecto Técnico.</w:t>
      </w:r>
    </w:p>
    <w:p>
      <w:pPr>
        <w:pStyle w:val="parrafo"/>
        <w:shd w:val="clear" w:color="auto" w:fill="FFFFFF"/>
        <w:spacing w:before="180" w:beforeAutospacing="0" w:after="18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1.3 Normativa de referencia</w:t>
      </w:r>
    </w:p>
    <w:p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Distribución de radiodifusión sonora y televisión terrestres y satélite (actuación 12.b).</w:t>
      </w:r>
    </w:p>
    <w:p>
      <w:pPr>
        <w:pStyle w:val="parrafo2"/>
        <w:shd w:val="clear" w:color="auto" w:fill="FFFFFF"/>
        <w:spacing w:before="36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3.1 Consideraciones sobre el diseño.</w:t>
      </w:r>
    </w:p>
    <w:p>
      <w:pPr>
        <w:pStyle w:val="parrafo2"/>
        <w:shd w:val="clear" w:color="auto" w:fill="FFFFFF"/>
        <w:spacing w:before="360" w:beforeAutospacing="0" w:after="180" w:afterAutospacing="0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[Se describirá la topología de la red de distribución (estrella, árbol-rama, …), ubicación de los cableados (patinillos, fachadas, patios interiores), etc.]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3.2 Cálculo de parámetros básicos de la instalación:</w:t>
      </w:r>
    </w:p>
    <w:p>
      <w:pPr>
        <w:pStyle w:val="parrafo2"/>
        <w:shd w:val="clear" w:color="auto" w:fill="FFFFFF"/>
        <w:spacing w:before="360" w:beforeAutospacing="0" w:after="180" w:afterAutospacing="0"/>
        <w:ind w:left="360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3.2.1. Estructura de la red y sus elementos</w:t>
      </w:r>
    </w:p>
    <w:p>
      <w:pPr>
        <w:pStyle w:val="parrafo2"/>
        <w:shd w:val="clear" w:color="auto" w:fill="FFFFFF"/>
        <w:spacing w:before="360" w:beforeAutospacing="0" w:after="180" w:afterAutospacing="0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[Se relacionará los componentes que forman la red (tipos de cables, derivadores, distribuidores) y su ubicación.]</w:t>
      </w:r>
    </w:p>
    <w:p>
      <w:pPr>
        <w:pStyle w:val="parrafo"/>
        <w:shd w:val="clear" w:color="auto" w:fill="FFFFFF"/>
        <w:spacing w:before="180" w:beforeAutospacing="0" w:after="180" w:afterAutospacing="0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3.2.2. Cálculo de la atenuación desde los amplificadores de cabecera hasta cada usuario, en la banda 15 MHz–2150 MHz. </w:t>
      </w:r>
    </w:p>
    <w:p>
      <w:pPr>
        <w:pStyle w:val="parrafo"/>
        <w:shd w:val="clear" w:color="auto" w:fill="FFFFFF"/>
        <w:spacing w:before="180" w:beforeAutospacing="0" w:after="180" w:afterAutospacing="0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[Se calculará la atenuación hasta cada punto de entrada en la vivienda o local (Punto de acceso equivalente a un PAU) y se estimará la atenuación hasta una posible toma, aunque no se instale inicialmente. Los valores se darán con un mínimo de dos decimales de precisión.]</w:t>
      </w:r>
    </w:p>
    <w:p>
      <w:pPr>
        <w:pStyle w:val="parrafo"/>
        <w:shd w:val="clear" w:color="auto" w:fill="FFFFFF"/>
        <w:spacing w:before="180" w:beforeAutospacing="0" w:after="180" w:afterAutospacing="0"/>
        <w:ind w:left="10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3.2.3. Niveles de señal en toma estimados por usuario.</w:t>
      </w:r>
    </w:p>
    <w:p>
      <w:pPr>
        <w:pStyle w:val="parrafo"/>
        <w:shd w:val="clear" w:color="auto" w:fill="FFFFFF"/>
        <w:spacing w:before="180" w:beforeAutospacing="0" w:after="180" w:afterAutospacing="0"/>
        <w:ind w:left="106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[Se calculará el nivel hasta el PAU o punto de entrada en la vivienda equivalente y se estimará la atenuación hasta una posible toma, aunque no se instale inicialmente. Los valores se darán con un mínimo de dos decimales de precisión.]</w:t>
      </w:r>
    </w:p>
    <w:p>
      <w:pPr>
        <w:pStyle w:val="parrafo"/>
        <w:shd w:val="clear" w:color="auto" w:fill="FFFFFF"/>
        <w:spacing w:before="180" w:beforeAutospacing="0" w:after="180" w:afterAutospacing="0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Theme="minorHAnsi" w:hAnsiTheme="minorHAnsi" w:cstheme="minorHAnsi"/>
          <w:sz w:val="22"/>
          <w:szCs w:val="22"/>
        </w:rPr>
        <w:br/>
        <w:t>3.3 Resumen de los elementos componentes de la instalación.</w:t>
      </w:r>
    </w:p>
    <w:p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4. Infraestructura de telecomunicaciones adaptada, exclusivamente, para Banda Ancha Ultrarrápida (actuación 12.b)</w:t>
      </w:r>
    </w:p>
    <w:p>
      <w:pPr>
        <w:pStyle w:val="parrafo2"/>
        <w:shd w:val="clear" w:color="auto" w:fill="FFFFFF"/>
        <w:spacing w:before="36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 Resultado consulta previa a los operadores</w:t>
      </w:r>
    </w:p>
    <w:p>
      <w:pPr>
        <w:pStyle w:val="parrafo"/>
        <w:shd w:val="clear" w:color="auto" w:fill="FFFFFF"/>
        <w:spacing w:before="180" w:beforeAutospacing="0" w:after="18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4.2 Cálculo y dimensionamiento de las redes de distribución y dispersión de cables, y tipos de cables.</w:t>
      </w:r>
    </w:p>
    <w:p>
      <w:pPr>
        <w:pStyle w:val="parrafo"/>
        <w:shd w:val="clear" w:color="auto" w:fill="FFFFFF"/>
        <w:spacing w:before="180" w:beforeAutospacing="0" w:after="18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4.3 Cálculo de la atenuación de las redes de distribución y dispersión 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[En el caso de FO se usarán los valores máximos definidos en el anexo II del RD 346/2011.]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4.4 Dimensionamiento y ubicación del punto de distribución e interconexión </w:t>
      </w:r>
    </w:p>
    <w:p>
      <w:pPr>
        <w:pStyle w:val="parrafo"/>
        <w:shd w:val="clear" w:color="auto" w:fill="FFFFFF"/>
        <w:spacing w:before="180" w:beforeAutospacing="0" w:after="18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4.5 Resumen de los materiales necesarios para las redes de distribución y dispersión de cables de fibra óptica.</w:t>
      </w:r>
    </w:p>
    <w:p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5. Redes Interiores de Usuario.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[En el caso que se realice alguna actuación en el interior de las viviendas o locales.]</w:t>
      </w:r>
    </w:p>
    <w:p>
      <w:pPr>
        <w:pStyle w:val="parrafo2"/>
        <w:shd w:val="clear" w:color="auto" w:fill="FFFFFF"/>
        <w:spacing w:before="360" w:beforeAutospacing="0" w:after="18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6. Canalización e infraestructura de distribución.</w:t>
      </w:r>
    </w:p>
    <w:p>
      <w:pPr>
        <w:pStyle w:val="parrafo2"/>
        <w:shd w:val="clear" w:color="auto" w:fill="FFFFFF"/>
        <w:spacing w:before="36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6.1. Canalizaciones previstas para adaptar el edificio para alojar el cableado.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este apartado se explicará la solución prevista en el caso que se usen tubos, canales o bandejas, así como la ubicación de los mismos (superficiales, empotrados, por patios, fachadas). Se indicará la colocación de cajas o registros.]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6.2. Recintos o registros para la ubicación de los elementos de red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este apartado se explicará la solución prevista para alojar los elementos de distribución de RTV o distribución de Banda Ancha.]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7. Fotografías del estado de la instalación antes de su renovación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[Fotografías de la situación del edificio previa a su adaptación donde se muestren las instalaciones existentes antes de ser renovadas. Cada fotografía se acompañará con una breve descripción.]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PLANOS Y ESQUEMAS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 Plano general de situación del edificio.</w:t>
      </w:r>
    </w:p>
    <w:p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Esquema general de la infraestructura proyectada para el edificio, con las diferentes canalizaciones y registros identificados para cada red de telecomunicación incluida en la ICT. 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 Esquemas de principio de la instalación de Radiodifusión Sonora y Televisión, mostrando todo el material activo y pasivo (con su identificación con relación a lo indicado en Memoria y Pliego de Condiciones) y acotaciones en metros. (actuación 12.b)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Esquema de principio de la red de Banda Ancha Ultrarrápida mostrando la topología, los elementos pasivos de la red, el punto de interconexión, así como su asignación.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PLIEGO DE CONDICIONES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1. Distribución de Radiodifusión sonora y televisión. (actuación 12.b)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 Características de los elementos pasivos.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Derivadores, distribuidores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1.2 Características cable </w:t>
      </w:r>
    </w:p>
    <w:p>
      <w:pPr>
        <w:pStyle w:val="parrafo"/>
        <w:shd w:val="clear" w:color="auto" w:fill="FFFFFF"/>
        <w:spacing w:before="180" w:beforeAutospacing="0" w:after="180" w:afterAutospacing="0"/>
        <w:ind w:left="14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Se indicará al menos atenuación, CPR, ...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2. Red de Banda Ancha Ultrarrápida</w:t>
      </w:r>
    </w:p>
    <w:p>
      <w:pPr>
        <w:pStyle w:val="parrafo2"/>
        <w:shd w:val="clear" w:color="auto" w:fill="FFFFFF"/>
        <w:spacing w:before="360" w:beforeAutospacing="0" w:after="180" w:afterAutospacing="0"/>
        <w:ind w:firstLine="708"/>
        <w:jc w:val="both"/>
        <w:rPr>
          <w:rFonts w:asciiTheme="minorHAnsi" w:hAnsiTheme="minorHAnsi" w:cstheme="minorHAnsi"/>
          <w:strike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2.1 Características de los cables. </w:t>
      </w:r>
    </w:p>
    <w:p>
      <w:pPr>
        <w:pStyle w:val="parrafo"/>
        <w:shd w:val="clear" w:color="auto" w:fill="FFFFFF"/>
        <w:spacing w:before="180" w:beforeAutospacing="0" w:after="180" w:afterAutospacing="0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2.2 Características de los elementos pasivos.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3. Características materiales usados para la Infraestructura</w:t>
      </w:r>
    </w:p>
    <w:p>
      <w:pPr>
        <w:pStyle w:val="parrafo2"/>
        <w:shd w:val="clear" w:color="auto" w:fill="FFFFFF"/>
        <w:spacing w:before="36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[Se indicará las características de los tubos, conducciones, cajas de registro, etc. que se vayan a utilizar.]</w:t>
      </w:r>
    </w:p>
    <w:p>
      <w:pPr>
        <w:pStyle w:val="parrafo2"/>
        <w:shd w:val="clear" w:color="auto" w:fill="FFFFFF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4. Gestión medioambiental de residuos y de la retirada, en su caso, de instalaciones preexistentes 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el caso que haya retirada de instalaciones preexistentes en desuso, se indicará la previsión de los residuos que se van a generar y se deberá citar el Sistema Colectivo de Responsabilidad Ampliada del Productor –SCRAP– autorizado, encargado de la correcta gestión medioambiental de los residuos generados por la desinstalación de elementos previos (</w:t>
      </w:r>
      <w:proofErr w:type="spellStart"/>
      <w:r>
        <w:rPr>
          <w:rFonts w:asciiTheme="minorHAnsi" w:hAnsiTheme="minorHAnsi" w:cstheme="minorHAnsi"/>
          <w:sz w:val="20"/>
          <w:szCs w:val="20"/>
        </w:rPr>
        <w:t>aparamenta</w:t>
      </w:r>
      <w:proofErr w:type="spellEnd"/>
      <w:r>
        <w:rPr>
          <w:rFonts w:asciiTheme="minorHAnsi" w:hAnsiTheme="minorHAnsi" w:cstheme="minorHAnsi"/>
          <w:sz w:val="20"/>
          <w:szCs w:val="20"/>
        </w:rPr>
        <w:t>, cables y residuos electrónicos). En cumplimiento del Anexo II, apartado 7 del Real Decreto 990/2021.]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[Con este apartado se apoya el objetivo europeo de garantizar que al menos el 70% (en peso) de los residuos de construcción y demolición no peligrosos (excluyendo el material natural mencionado en la categoría 17 05 04 en la Lista europea de residuos establecida por la Decisión 2000/532/EC) generados en el sitio de construcción está preparado para su reutilización, reciclaje y recuperación de otros materiales, incluidas las operaciones de relleno utilizando residuos para sustituir otros materiales, de acuerdo con la jerarquía de residuos y el Protocolo de gestión de residuos de construcción y demolición de la UE</w:t>
      </w:r>
      <w:r>
        <w:t>.]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trike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5. Consideración en materia de Prevención de Riesgos Laborales 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6. Seguridad de las instalaciones para garantizar el secreto de las telecomunicaciones</w:t>
      </w:r>
    </w:p>
    <w:p>
      <w:pPr>
        <w:pStyle w:val="centroredonda"/>
        <w:shd w:val="clear" w:color="auto" w:fill="FFFFFF"/>
        <w:spacing w:before="300" w:beforeAutospacing="0" w:after="240" w:afterAutospacing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PRESUPUESTO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[En este apartado se incluirá el presupuesto ya presentado junto con el ITR en la solicitud de la ayuda.</w:t>
      </w:r>
    </w:p>
    <w:p>
      <w:pPr>
        <w:pStyle w:val="parrafo"/>
        <w:shd w:val="clear" w:color="auto" w:fill="FFFFFF"/>
        <w:spacing w:before="180" w:beforeAutospacing="0" w:after="180" w:afterAutospacing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 el caso, que el presupuesto deba ser actualizado o modificado, se indicará y se volverán a desglosar todas las partidas.]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Piedepgina"/>
      <w:ind w:left="-851"/>
      <w:jc w:val="center"/>
      <w:rPr>
        <w:sz w:val="16"/>
        <w:szCs w:val="16"/>
      </w:rPr>
    </w:pPr>
    <w:r>
      <w:rPr>
        <w:sz w:val="16"/>
        <w:szCs w:val="16"/>
      </w:rPr>
      <w:t xml:space="preserve">Plan de Recuperación, Transformación y Resiliencia – Financiado por la Unión Europea – </w:t>
    </w:r>
    <w:proofErr w:type="spellStart"/>
    <w:r>
      <w:rPr>
        <w:sz w:val="16"/>
        <w:szCs w:val="16"/>
      </w:rPr>
      <w:t>NextGenerationEU</w:t>
    </w:r>
    <w:proofErr w:type="spellEnd"/>
  </w:p>
  <w:p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444" w:type="dxa"/>
      <w:tblInd w:w="198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2207"/>
      <w:gridCol w:w="3827"/>
      <w:gridCol w:w="2410"/>
    </w:tblGrid>
    <w:tr>
      <w:trPr>
        <w:cantSplit/>
        <w:trHeight w:val="20"/>
      </w:trPr>
      <w:tc>
        <w:tcPr>
          <w:tcW w:w="2207" w:type="dxa"/>
          <w:vAlign w:val="center"/>
        </w:tcPr>
        <w:p>
          <w:pPr>
            <w:pStyle w:val="PictureCenter"/>
          </w:pPr>
          <w:bookmarkStart w:id="1" w:name="_Hlk99544404"/>
          <w:r>
            <w:drawing>
              <wp:inline distT="0" distB="0" distL="0" distR="0">
                <wp:extent cx="1450471" cy="432000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0471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>
          <w:pPr>
            <w:pStyle w:val="PictureCenter"/>
          </w:pPr>
          <w:r>
            <w:drawing>
              <wp:inline distT="0" distB="0" distL="0" distR="0">
                <wp:extent cx="1735604" cy="360000"/>
                <wp:effectExtent l="0" t="0" r="0" b="2540"/>
                <wp:docPr id="5" name="Imagen 5" descr="Interfaz de usuario gráfica, 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Interfaz de usuario gráfica, Texto, Aplicación&#10;&#10;Descripción generada automá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3" t="31974" r="3665" b="33336"/>
                        <a:stretch/>
                      </pic:blipFill>
                      <pic:spPr bwMode="auto">
                        <a:xfrm>
                          <a:off x="0" y="0"/>
                          <a:ext cx="173560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>
          <w:pPr>
            <w:pStyle w:val="PictureCenter"/>
          </w:pPr>
          <w:r>
            <w:drawing>
              <wp:inline distT="0" distB="0" distL="0" distR="0">
                <wp:extent cx="1226606" cy="360000"/>
                <wp:effectExtent l="0" t="0" r="0" b="2540"/>
                <wp:docPr id="6" name="Imagen 6" descr="Interfaz de usuario gráfica, Aplicación, Team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, Teams&#10;&#10;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6606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>
    <w:pPr>
      <w:pStyle w:val="Encabezado"/>
      <w:tabs>
        <w:tab w:val="clear" w:pos="4252"/>
        <w:tab w:val="clear" w:pos="8504"/>
        <w:tab w:val="left" w:pos="17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Pr>
      <w:sz w:val="20"/>
      <w:szCs w:val="20"/>
    </w:rPr>
  </w:style>
  <w:style w:type="character" w:styleId="Refdenotaalpie">
    <w:name w:val="footnote reference"/>
    <w:basedOn w:val="Fuentedeprrafopredeter"/>
    <w:unhideWhenUsed/>
    <w:rPr>
      <w:vertAlign w:val="superscript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ocursiva">
    <w:name w:val="centro_cursiv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entroredonda">
    <w:name w:val="centro_redonda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pPr>
      <w:spacing w:after="0" w:line="240" w:lineRule="auto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PictureCenter">
    <w:name w:val="_Picture_Center"/>
    <w:basedOn w:val="Normal"/>
    <w:next w:val="Normal"/>
    <w:autoRedefine/>
    <w:qFormat/>
    <w:pPr>
      <w:spacing w:after="0" w:line="240" w:lineRule="auto"/>
      <w:ind w:left="-567" w:right="-567"/>
      <w:jc w:val="center"/>
    </w:pPr>
    <w:rPr>
      <w:rFonts w:eastAsia="Times New Roman" w:cs="Times New Roman"/>
      <w:noProof/>
      <w:color w:val="006600"/>
      <w:kern w:val="28"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4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adoDocumentosCT" ma:contentTypeID="0x0101002B548C03437E43FC972CE33E155068B4009D3C1E5BE77D0D4194EE9B2C8F198D8A" ma:contentTypeVersion="0" ma:contentTypeDescription="Tipo de contenido para las bibliotecas de documentos de tipo listado de documentos" ma:contentTypeScope="" ma:versionID="101bede13a8e4adc2006fac77685f400">
  <xsd:schema xmlns:xsd="http://www.w3.org/2001/XMLSchema" xmlns:xs="http://www.w3.org/2001/XMLSchema" xmlns:p="http://schemas.microsoft.com/office/2006/metadata/properties" xmlns:ns2="C5E8C7A3-A6F7-46BF-BD86-3D4B4AD5292D" targetNamespace="http://schemas.microsoft.com/office/2006/metadata/properties" ma:root="true" ma:fieldsID="78da9edc2331bb09d9dd2cb0618f88b8" ns2:_="">
    <xsd:import namespace="C5E8C7A3-A6F7-46BF-BD86-3D4B4AD5292D"/>
    <xsd:element name="properties">
      <xsd:complexType>
        <xsd:sequence>
          <xsd:element name="documentManagement">
            <xsd:complexType>
              <xsd:all>
                <xsd:element ref="ns2:MCLDDescripcion" minOccurs="0"/>
                <xsd:element ref="ns2:MCLD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C7A3-A6F7-46BF-BD86-3D4B4AD5292D" elementFormDefault="qualified">
    <xsd:import namespace="http://schemas.microsoft.com/office/2006/documentManagement/types"/>
    <xsd:import namespace="http://schemas.microsoft.com/office/infopath/2007/PartnerControls"/>
    <xsd:element name="MCLDDescripcion" ma:index="8" nillable="true" ma:displayName="Descripción" ma:internalName="MCLDDescripcion">
      <xsd:simpleType>
        <xsd:restriction base="dms:Note">
          <xsd:maxLength value="255"/>
        </xsd:restriction>
      </xsd:simpleType>
    </xsd:element>
    <xsd:element name="MCLDOrden" ma:index="9" nillable="true" ma:displayName="Orden" ma:decimals="0" ma:internalName="MCLD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CLDOrden xmlns="C5E8C7A3-A6F7-46BF-BD86-3D4B4AD5292D">10</MCLDOrden>
    <MCLDDescripcion xmlns="C5E8C7A3-A6F7-46BF-BD86-3D4B4AD5292D" xsi:nil="true"/>
  </documentManagement>
</p:properties>
</file>

<file path=customXml/itemProps1.xml><?xml version="1.0" encoding="utf-8"?>
<ds:datastoreItem xmlns:ds="http://schemas.openxmlformats.org/officeDocument/2006/customXml" ds:itemID="{FEFDB817-A160-480A-A086-BB9A0B6E3016}"/>
</file>

<file path=customXml/itemProps2.xml><?xml version="1.0" encoding="utf-8"?>
<ds:datastoreItem xmlns:ds="http://schemas.openxmlformats.org/officeDocument/2006/customXml" ds:itemID="{0E5344D0-ED00-4832-8B21-523EB6516457}"/>
</file>

<file path=customXml/itemProps3.xml><?xml version="1.0" encoding="utf-8"?>
<ds:datastoreItem xmlns:ds="http://schemas.openxmlformats.org/officeDocument/2006/customXml" ds:itemID="{3B4F857B-21A3-4166-ADE7-AF27C64FA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técnico actuación B (proyectistas) </dc:title>
  <dc:subject/>
  <dc:creator/>
  <cp:keywords/>
  <dc:description/>
  <cp:lastModifiedBy/>
  <cp:revision>1</cp:revision>
  <dcterms:created xsi:type="dcterms:W3CDTF">2022-07-07T09:46:00Z</dcterms:created>
  <dcterms:modified xsi:type="dcterms:W3CDTF">2022-07-13T06:44:00Z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0x0101002B548C03437E43FC972CE33E155068B4009D3C1E5BE77D0D4194EE9B2C8F198D8A</vt:lpwstr>
  </property>
</Properties>
</file>